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C6B0" w14:textId="77777777" w:rsidR="00AD7F1E" w:rsidRPr="00586923" w:rsidRDefault="00AD7F1E" w:rsidP="00AD7F1E">
      <w:pPr>
        <w:rPr>
          <w:rFonts w:ascii="Arial" w:hAnsi="Arial" w:cs="Arial"/>
        </w:rPr>
      </w:pPr>
      <w:r w:rsidRPr="00586923">
        <w:rPr>
          <w:rFonts w:ascii="Arial" w:hAnsi="Arial" w:cs="Arial"/>
          <w:noProof/>
          <w:lang w:eastAsia="pl-PL"/>
        </w:rPr>
        <w:drawing>
          <wp:inline distT="0" distB="0" distL="0" distR="0" wp14:anchorId="183FA3AD" wp14:editId="7462580C">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54A00682" w14:textId="77777777" w:rsidR="00AD7F1E" w:rsidRDefault="00AD7F1E" w:rsidP="00AD7F1E">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1A268863" w14:textId="77777777" w:rsidR="00AD7F1E" w:rsidRPr="00586923" w:rsidRDefault="00AD7F1E" w:rsidP="00AD7F1E">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534B0BAA" w14:textId="3E6A0ED5" w:rsidR="00AD7F1E" w:rsidRPr="00586923" w:rsidRDefault="00AD7F1E" w:rsidP="00AD7F1E">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18</w:t>
      </w:r>
      <w:r>
        <w:rPr>
          <w:rFonts w:ascii="Arial" w:hAnsi="Arial" w:cs="Arial"/>
          <w:b/>
        </w:rPr>
        <w:t xml:space="preserve"> </w:t>
      </w:r>
      <w:r w:rsidRPr="00586923">
        <w:rPr>
          <w:rFonts w:ascii="Arial" w:hAnsi="Arial" w:cs="Arial"/>
          <w:b/>
        </w:rPr>
        <w:t xml:space="preserve">do </w:t>
      </w:r>
      <w:r>
        <w:rPr>
          <w:rFonts w:ascii="Arial" w:hAnsi="Arial" w:cs="Arial"/>
          <w:b/>
        </w:rPr>
        <w:t>24 maja</w:t>
      </w:r>
      <w:r w:rsidRPr="00586923">
        <w:rPr>
          <w:rFonts w:ascii="Arial" w:hAnsi="Arial" w:cs="Arial"/>
          <w:b/>
        </w:rPr>
        <w:t xml:space="preserve"> 202</w:t>
      </w:r>
      <w:r>
        <w:rPr>
          <w:rFonts w:ascii="Arial" w:hAnsi="Arial" w:cs="Arial"/>
          <w:b/>
        </w:rPr>
        <w:t>_</w:t>
      </w:r>
      <w:r w:rsidRPr="00586923">
        <w:rPr>
          <w:rFonts w:ascii="Arial" w:hAnsi="Arial" w:cs="Arial"/>
          <w:b/>
        </w:rPr>
        <w:t xml:space="preserve"> roku</w:t>
      </w:r>
    </w:p>
    <w:p w14:paraId="010B6076" w14:textId="1EECB06C" w:rsidR="00AD7F1E" w:rsidRPr="00AC3187" w:rsidRDefault="00AD7F1E" w:rsidP="00AD7F1E">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28 maja</w:t>
      </w:r>
      <w:r w:rsidRPr="00AC3187">
        <w:rPr>
          <w:rFonts w:ascii="Arial" w:hAnsi="Arial" w:cs="Arial"/>
        </w:rPr>
        <w:t xml:space="preserve"> 202</w:t>
      </w:r>
      <w:r>
        <w:rPr>
          <w:rFonts w:ascii="Arial" w:hAnsi="Arial" w:cs="Arial"/>
        </w:rPr>
        <w:t xml:space="preserve">6 </w:t>
      </w:r>
      <w:r w:rsidRPr="00AC3187">
        <w:rPr>
          <w:rFonts w:ascii="Arial" w:hAnsi="Arial" w:cs="Arial"/>
        </w:rPr>
        <w:t>roku</w:t>
      </w:r>
    </w:p>
    <w:p w14:paraId="2C805155" w14:textId="77777777" w:rsidR="00AD7F1E" w:rsidRPr="00586923" w:rsidRDefault="00AD7F1E" w:rsidP="00AD7F1E">
      <w:pPr>
        <w:spacing w:after="0" w:line="300" w:lineRule="auto"/>
        <w:jc w:val="both"/>
        <w:rPr>
          <w:rFonts w:ascii="Arial" w:hAnsi="Arial" w:cs="Arial"/>
        </w:rPr>
      </w:pPr>
    </w:p>
    <w:p w14:paraId="51BCE1C7" w14:textId="77777777" w:rsidR="00AD7F1E" w:rsidRPr="000B65D1" w:rsidRDefault="00AD7F1E" w:rsidP="00AD7F1E">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562E619A" w14:textId="77777777" w:rsidR="00AD7F1E" w:rsidRDefault="00AD7F1E" w:rsidP="00AD7F1E">
      <w:pPr>
        <w:spacing w:after="0" w:line="300" w:lineRule="auto"/>
        <w:jc w:val="both"/>
        <w:rPr>
          <w:rFonts w:ascii="Arial" w:hAnsi="Arial" w:cs="Arial"/>
        </w:rPr>
      </w:pPr>
    </w:p>
    <w:p w14:paraId="4C632C0F" w14:textId="12CE8E0B" w:rsidR="00AD7F1E" w:rsidRPr="00C70674" w:rsidRDefault="00AD7F1E" w:rsidP="00AD7F1E">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A66597">
        <w:rPr>
          <w:rFonts w:ascii="Arial" w:eastAsia="Calibri" w:hAnsi="Arial" w:cs="Arial"/>
          <w:bCs/>
        </w:rPr>
        <w:t>2</w:t>
      </w:r>
      <w:r w:rsidRPr="00C70674">
        <w:rPr>
          <w:rFonts w:ascii="Arial" w:eastAsia="Calibri" w:hAnsi="Arial" w:cs="Arial"/>
          <w:bCs/>
        </w:rPr>
        <w:t xml:space="preserve"> projekt</w:t>
      </w:r>
      <w:r w:rsidR="00A66597">
        <w:rPr>
          <w:rFonts w:ascii="Arial" w:eastAsia="Calibri" w:hAnsi="Arial" w:cs="Arial"/>
          <w:bCs/>
        </w:rPr>
        <w:t xml:space="preserve">y </w:t>
      </w:r>
      <w:r>
        <w:rPr>
          <w:rFonts w:ascii="Arial" w:eastAsia="Calibri" w:hAnsi="Arial" w:cs="Arial"/>
          <w:bCs/>
        </w:rPr>
        <w:t>ustaw</w:t>
      </w:r>
      <w:r w:rsidRPr="00C70674">
        <w:rPr>
          <w:rFonts w:ascii="Arial" w:eastAsia="Calibri" w:hAnsi="Arial" w:cs="Arial"/>
          <w:bCs/>
        </w:rPr>
        <w:t xml:space="preserve"> oraz</w:t>
      </w:r>
      <w:r w:rsidRPr="00C70674">
        <w:rPr>
          <w:rFonts w:ascii="Arial" w:hAnsi="Arial" w:cs="Arial"/>
        </w:rPr>
        <w:t xml:space="preserve"> </w:t>
      </w:r>
      <w:r w:rsidR="00A66597">
        <w:rPr>
          <w:rFonts w:ascii="Arial" w:hAnsi="Arial" w:cs="Arial"/>
        </w:rPr>
        <w:t>24</w:t>
      </w:r>
      <w:r w:rsidRPr="00C70674">
        <w:rPr>
          <w:rFonts w:ascii="Arial" w:hAnsi="Arial" w:cs="Arial"/>
        </w:rPr>
        <w:t xml:space="preserve"> projekt</w:t>
      </w:r>
      <w:r w:rsidR="00A66597">
        <w:rPr>
          <w:rFonts w:ascii="Arial" w:hAnsi="Arial" w:cs="Arial"/>
        </w:rPr>
        <w:t>y</w:t>
      </w:r>
      <w:r w:rsidRPr="00C70674">
        <w:rPr>
          <w:rFonts w:ascii="Arial" w:hAnsi="Arial" w:cs="Arial"/>
        </w:rPr>
        <w:t xml:space="preserve"> rozporządzeń Rady Ministrów, Prezesa Rady Ministrów oraz poszczególnych Ministrów.</w:t>
      </w:r>
    </w:p>
    <w:p w14:paraId="139E107F" w14:textId="77777777" w:rsidR="00AD7F1E" w:rsidRPr="00C70674" w:rsidRDefault="00AD7F1E" w:rsidP="00AD7F1E">
      <w:pPr>
        <w:spacing w:after="0" w:line="300" w:lineRule="auto"/>
        <w:jc w:val="both"/>
        <w:rPr>
          <w:rFonts w:ascii="Arial" w:hAnsi="Arial" w:cs="Arial"/>
        </w:rPr>
      </w:pPr>
    </w:p>
    <w:p w14:paraId="31EB91D5" w14:textId="2FAD8922" w:rsidR="00AD7F1E" w:rsidRDefault="00AD7F1E" w:rsidP="00AD7F1E">
      <w:pPr>
        <w:spacing w:after="0" w:line="300" w:lineRule="auto"/>
        <w:jc w:val="both"/>
        <w:rPr>
          <w:rFonts w:ascii="Arial" w:hAnsi="Arial" w:cs="Arial"/>
        </w:rPr>
      </w:pPr>
      <w:r>
        <w:rPr>
          <w:rFonts w:ascii="Arial" w:hAnsi="Arial" w:cs="Arial"/>
        </w:rPr>
        <w:t xml:space="preserve">Przeprowadzono konsultacje </w:t>
      </w:r>
      <w:r w:rsidR="00A66597">
        <w:rPr>
          <w:rFonts w:ascii="Arial" w:hAnsi="Arial" w:cs="Arial"/>
        </w:rPr>
        <w:t>2</w:t>
      </w:r>
      <w:r>
        <w:rPr>
          <w:rFonts w:ascii="Arial" w:hAnsi="Arial" w:cs="Arial"/>
        </w:rPr>
        <w:t xml:space="preserve"> projekt</w:t>
      </w:r>
      <w:r w:rsidR="00A66597">
        <w:rPr>
          <w:rFonts w:ascii="Arial" w:hAnsi="Arial" w:cs="Arial"/>
        </w:rPr>
        <w:t>ów</w:t>
      </w:r>
      <w:r>
        <w:rPr>
          <w:rFonts w:ascii="Arial" w:hAnsi="Arial" w:cs="Arial"/>
        </w:rPr>
        <w:t xml:space="preserve"> ustaw i </w:t>
      </w:r>
      <w:r w:rsidR="00A66597">
        <w:rPr>
          <w:rFonts w:ascii="Arial" w:hAnsi="Arial" w:cs="Arial"/>
        </w:rPr>
        <w:t>1</w:t>
      </w:r>
      <w:r>
        <w:rPr>
          <w:rFonts w:ascii="Arial" w:hAnsi="Arial" w:cs="Arial"/>
        </w:rPr>
        <w:t xml:space="preserve"> projekt</w:t>
      </w:r>
      <w:r w:rsidR="00A66597">
        <w:rPr>
          <w:rFonts w:ascii="Arial" w:hAnsi="Arial" w:cs="Arial"/>
        </w:rPr>
        <w:t>u</w:t>
      </w:r>
      <w:r>
        <w:rPr>
          <w:rFonts w:ascii="Arial" w:hAnsi="Arial" w:cs="Arial"/>
        </w:rPr>
        <w:t xml:space="preserve"> rozporządze</w:t>
      </w:r>
      <w:r w:rsidR="00A66597">
        <w:rPr>
          <w:rFonts w:ascii="Arial" w:hAnsi="Arial" w:cs="Arial"/>
        </w:rPr>
        <w:t>nia</w:t>
      </w:r>
      <w:r>
        <w:rPr>
          <w:rFonts w:ascii="Arial" w:hAnsi="Arial" w:cs="Arial"/>
        </w:rPr>
        <w:t xml:space="preserve"> dotyczących podmiotów członkowskich (pracodawcy, przedsiębiorcy, JST) zrzeszonych w Związku. </w:t>
      </w:r>
    </w:p>
    <w:p w14:paraId="35466CF9" w14:textId="77777777" w:rsidR="00AD7F1E" w:rsidRDefault="00AD7F1E" w:rsidP="00AD7F1E">
      <w:pPr>
        <w:spacing w:after="0" w:line="300" w:lineRule="auto"/>
        <w:jc w:val="both"/>
        <w:rPr>
          <w:rFonts w:ascii="Arial" w:hAnsi="Arial" w:cs="Arial"/>
        </w:rPr>
      </w:pPr>
      <w:r>
        <w:rPr>
          <w:rFonts w:ascii="Arial" w:hAnsi="Arial" w:cs="Arial"/>
        </w:rPr>
        <w:t>Do konsultacji przekazane zostały następujące projekty:</w:t>
      </w:r>
    </w:p>
    <w:p w14:paraId="69CF6911" w14:textId="77777777" w:rsidR="00AD7F1E" w:rsidRDefault="00AD7F1E" w:rsidP="00AD7F1E">
      <w:pPr>
        <w:spacing w:after="0" w:line="300" w:lineRule="auto"/>
        <w:jc w:val="both"/>
        <w:rPr>
          <w:rFonts w:ascii="Arial" w:hAnsi="Arial" w:cs="Arial"/>
        </w:rPr>
      </w:pPr>
    </w:p>
    <w:p w14:paraId="54FE9E7F" w14:textId="77777777" w:rsidR="00AD7F1E" w:rsidRDefault="00AD7F1E" w:rsidP="00AD7F1E">
      <w:pPr>
        <w:spacing w:after="0" w:line="300" w:lineRule="auto"/>
        <w:jc w:val="both"/>
        <w:rPr>
          <w:rFonts w:ascii="Arial" w:hAnsi="Arial" w:cs="Arial"/>
        </w:rPr>
      </w:pPr>
      <w:r>
        <w:rPr>
          <w:rFonts w:ascii="Arial" w:hAnsi="Arial" w:cs="Arial"/>
        </w:rPr>
        <w:t>Projekty ustaw:</w:t>
      </w:r>
    </w:p>
    <w:p w14:paraId="5C91DF80" w14:textId="77777777" w:rsidR="00A66597" w:rsidRDefault="00A66597" w:rsidP="00AD7F1E">
      <w:pPr>
        <w:spacing w:after="0" w:line="300" w:lineRule="auto"/>
        <w:jc w:val="both"/>
        <w:rPr>
          <w:rFonts w:ascii="Arial" w:hAnsi="Arial" w:cs="Arial"/>
        </w:rPr>
      </w:pPr>
    </w:p>
    <w:p w14:paraId="7A9E9D2D" w14:textId="673D4BD2" w:rsidR="00A66597" w:rsidRPr="002164C6" w:rsidRDefault="005D30A0" w:rsidP="00AD7F1E">
      <w:pPr>
        <w:pStyle w:val="Akapitzlist"/>
        <w:numPr>
          <w:ilvl w:val="0"/>
          <w:numId w:val="3"/>
        </w:numPr>
        <w:spacing w:after="0" w:line="300" w:lineRule="auto"/>
        <w:jc w:val="both"/>
        <w:rPr>
          <w:rFonts w:ascii="Arial" w:hAnsi="Arial" w:cs="Arial"/>
          <w:b/>
          <w:bCs/>
          <w:u w:val="single"/>
        </w:rPr>
      </w:pPr>
      <w:r w:rsidRPr="002164C6">
        <w:rPr>
          <w:rFonts w:ascii="Arial" w:hAnsi="Arial" w:cs="Arial"/>
          <w:b/>
          <w:bCs/>
          <w:u w:val="single"/>
        </w:rPr>
        <w:t>P</w:t>
      </w:r>
      <w:r w:rsidRPr="002164C6">
        <w:rPr>
          <w:rFonts w:ascii="Arial" w:hAnsi="Arial" w:cs="Arial"/>
          <w:b/>
          <w:bCs/>
          <w:u w:val="single"/>
        </w:rPr>
        <w:t>rojekt ustawy o zmianie ustawy o transporcie kolejowym (UC151).</w:t>
      </w:r>
    </w:p>
    <w:p w14:paraId="61E8EA12" w14:textId="77777777" w:rsidR="00A66597" w:rsidRDefault="00A66597" w:rsidP="00A66597">
      <w:pPr>
        <w:spacing w:after="0" w:line="300" w:lineRule="auto"/>
        <w:jc w:val="both"/>
        <w:rPr>
          <w:rFonts w:ascii="Arial" w:hAnsi="Arial" w:cs="Arial"/>
        </w:rPr>
      </w:pPr>
    </w:p>
    <w:p w14:paraId="6818AB85"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Konieczność nowelizacji ustawy z dnia 28 marca 2003 r. o transporcie kolejowym (Dz. U. z 2025 r. poz. 1234, z </w:t>
      </w:r>
      <w:proofErr w:type="spellStart"/>
      <w:r w:rsidRPr="005D30A0">
        <w:rPr>
          <w:rFonts w:ascii="Arial" w:eastAsia="Calibri" w:hAnsi="Arial" w:cs="Arial"/>
        </w:rPr>
        <w:t>późn</w:t>
      </w:r>
      <w:proofErr w:type="spellEnd"/>
      <w:r w:rsidRPr="005D30A0">
        <w:rPr>
          <w:rFonts w:ascii="Arial" w:eastAsia="Calibri" w:hAnsi="Arial" w:cs="Arial"/>
        </w:rPr>
        <w:t xml:space="preserve">. zm.) wynika z przekazanych pismem INFR(2025)2148 C(2026)242 z dnia 30 stycznia 2026 r. zarzutów formalnych Komisji Europejskiej wystosowanych w trybie art. 258 TFUE w związku z nieprawidłową transpozycją art. 12 i art. 13 oraz załączników V i VI do dyrektywy 2007/59/WE Parlamentu Europejskiego i Rady z dnia 23 października 2007 r. w sprawie przyznawania uprawnień maszynistom prowadzącym lokomotywy i pociągi w obrębie systemu kolejowego Wspólnoty (Dz. Urz. UE L 315 z 03.12.2007, str. 51, z </w:t>
      </w:r>
      <w:proofErr w:type="spellStart"/>
      <w:r w:rsidRPr="005D30A0">
        <w:rPr>
          <w:rFonts w:ascii="Arial" w:eastAsia="Calibri" w:hAnsi="Arial" w:cs="Arial"/>
        </w:rPr>
        <w:t>późn</w:t>
      </w:r>
      <w:proofErr w:type="spellEnd"/>
      <w:r w:rsidRPr="005D30A0">
        <w:rPr>
          <w:rFonts w:ascii="Arial" w:eastAsia="Calibri" w:hAnsi="Arial" w:cs="Arial"/>
        </w:rPr>
        <w:t xml:space="preserve">. zm.), zwanej dalej „dyrektywą 2007/59/WE” – nr naruszenia wg ewidencji Komisji: 2025/2148. </w:t>
      </w:r>
    </w:p>
    <w:p w14:paraId="15790129"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Komisja Europejska uważa, że przepisy ustawy z dnia 28 marca 2003 r. o transporcie kolejowym oraz przepisy rozporządzeń wydanych na podstawie tej ustawy zawierają wymogi dotyczące uzyskania świadectwa maszynisty, które są sprzeczne z art. 12 i art. 13 ww. dyrektywy, a ponadto powielają wymogi niezbędne do uzyskania licencji maszynisty w zakresie obowiązku odbycia badań lekarskich i psychologicznych przez kandydatów na maszynistów. Nieprawidłowa transpozycja art. 12 i art. 13 dyrektywy 2007/59/WE skutkuje zatem obowiązkiem ponownego spełnienia warunków samej licencji, co podważa skuteczność </w:t>
      </w:r>
      <w:proofErr w:type="spellStart"/>
      <w:r w:rsidRPr="005D30A0">
        <w:rPr>
          <w:rFonts w:ascii="Arial" w:eastAsia="Calibri" w:hAnsi="Arial" w:cs="Arial"/>
        </w:rPr>
        <w:t>ogólnounijnej</w:t>
      </w:r>
      <w:proofErr w:type="spellEnd"/>
      <w:r w:rsidRPr="005D30A0">
        <w:rPr>
          <w:rFonts w:ascii="Arial" w:eastAsia="Calibri" w:hAnsi="Arial" w:cs="Arial"/>
        </w:rPr>
        <w:t xml:space="preserve"> ważności licencji maszynisty, a także międzynarodową mobilność maszynistów. W związku z tym, że Komisja Europejska uznała, że Rzeczpospolita Polska uchybiła zobowiązaniom ciążącym na niej na mocy art. 7 ust. 1, art. 9 ust. 1, art. 12 i art. 13 dyrektywy </w:t>
      </w:r>
      <w:r w:rsidRPr="005D30A0">
        <w:rPr>
          <w:rFonts w:ascii="Arial" w:eastAsia="Calibri" w:hAnsi="Arial" w:cs="Arial"/>
        </w:rPr>
        <w:lastRenderedPageBreak/>
        <w:t xml:space="preserve">2007/59/WE konieczne jest wprowadzenie zmian w ustawie z dnia 28 marca 2003 r. o transporcie kolejowym. </w:t>
      </w:r>
    </w:p>
    <w:p w14:paraId="5E2E2E53"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Mając także na uwadze, że do pracowników zatrudnionych na stanowiskach bezpośrednio związanych z prowadzeniem i bezpieczeństwem ruchu kolejowego oraz z prowadzeniem określonych rodzajów pojazdów kolejowych należy bezpośrednio stosować przepisy rozporządzenia wykonawczego Komisji (UE) 2019/773 z dnia 16 maja 2019 r. dotyczącego TSI w zakresie podsystemu „Ruch kolejowy” systemu kolei w Unii Europejskiej i uchylającego decyzję 2012/757/UE (Dz. Urz. UE L 391I z 27.05.2019, str. 5, z </w:t>
      </w:r>
      <w:proofErr w:type="spellStart"/>
      <w:r w:rsidRPr="005D30A0">
        <w:rPr>
          <w:rFonts w:ascii="Arial" w:eastAsia="Calibri" w:hAnsi="Arial" w:cs="Arial"/>
        </w:rPr>
        <w:t>późn</w:t>
      </w:r>
      <w:proofErr w:type="spellEnd"/>
      <w:r w:rsidRPr="005D30A0">
        <w:rPr>
          <w:rFonts w:ascii="Arial" w:eastAsia="Calibri" w:hAnsi="Arial" w:cs="Arial"/>
        </w:rPr>
        <w:t>. zm.) konieczna jest modyfikacja przepisów w przedmiotowym zakresie.</w:t>
      </w:r>
    </w:p>
    <w:p w14:paraId="2CB41B57"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Projektowane zmiany w ustawie z dnia 28 marca 2003 r. o transporcie kolejowym polegają na: </w:t>
      </w:r>
    </w:p>
    <w:p w14:paraId="1489B5BF" w14:textId="77777777" w:rsidR="005D30A0" w:rsidRPr="005D30A0" w:rsidRDefault="005D30A0" w:rsidP="005D30A0">
      <w:pPr>
        <w:pStyle w:val="Akapitzlist"/>
        <w:numPr>
          <w:ilvl w:val="0"/>
          <w:numId w:val="6"/>
        </w:numPr>
        <w:spacing w:after="0" w:line="300" w:lineRule="auto"/>
        <w:jc w:val="both"/>
        <w:rPr>
          <w:rFonts w:ascii="Arial" w:eastAsia="Calibri" w:hAnsi="Arial" w:cs="Arial"/>
        </w:rPr>
      </w:pPr>
      <w:r w:rsidRPr="005D30A0">
        <w:rPr>
          <w:rFonts w:ascii="Arial" w:eastAsia="Calibri" w:hAnsi="Arial" w:cs="Arial"/>
        </w:rPr>
        <w:t xml:space="preserve">uchyleniu podwójnych badań lekarskich i psychologicznych u kandydatów na maszynistów, tj. rezygnację z obowiązku przeprowadzania badań lekarskich i psychologicznych przy szkoleniu na świadectwo maszynisty (II etap szkolenia do zawodu maszynisty), a obowiązek przeprowadzenia badań lekarskich i psychologicznych pozostanie przy szkoleniu na licencję maszynisty (I etap szkolenia do zawodu maszynisty); </w:t>
      </w:r>
    </w:p>
    <w:p w14:paraId="020E0B66" w14:textId="77777777" w:rsidR="005D30A0" w:rsidRPr="005D30A0" w:rsidRDefault="005D30A0" w:rsidP="005D30A0">
      <w:pPr>
        <w:pStyle w:val="Akapitzlist"/>
        <w:numPr>
          <w:ilvl w:val="0"/>
          <w:numId w:val="6"/>
        </w:numPr>
        <w:spacing w:after="0" w:line="300" w:lineRule="auto"/>
        <w:jc w:val="both"/>
        <w:rPr>
          <w:rFonts w:ascii="Arial" w:eastAsia="Calibri" w:hAnsi="Arial" w:cs="Arial"/>
        </w:rPr>
      </w:pPr>
      <w:r w:rsidRPr="005D30A0">
        <w:rPr>
          <w:rFonts w:ascii="Arial" w:eastAsia="Calibri" w:hAnsi="Arial" w:cs="Arial"/>
        </w:rPr>
        <w:t xml:space="preserve">modyfikacji delegacji ustawowej z art. 22a ust. 11 do wydania rozporządzenia w sprawie licencji maszynisty – modyfikacja ta polega na tym, że zgodnie z dyrektywą 2007/59/WE kandydaci na maszynistów będą przechodzić badania lekarskie i psychologiczne, natomiast czynni maszyniści przedłużający licencję maszynisty będą przechodzić tylko badania lekarskie, a zgodnie z obowiązującymi przepisami zarówno kandydaci na maszynistów jak i czynni maszyniści przechodzą badania lekarskie i psychologiczne; </w:t>
      </w:r>
    </w:p>
    <w:p w14:paraId="6FD80591" w14:textId="77777777" w:rsidR="005D30A0" w:rsidRPr="005D30A0" w:rsidRDefault="005D30A0" w:rsidP="005D30A0">
      <w:pPr>
        <w:pStyle w:val="Akapitzlist"/>
        <w:numPr>
          <w:ilvl w:val="0"/>
          <w:numId w:val="6"/>
        </w:numPr>
        <w:spacing w:after="0" w:line="300" w:lineRule="auto"/>
        <w:jc w:val="both"/>
        <w:rPr>
          <w:rFonts w:ascii="Arial" w:eastAsia="Calibri" w:hAnsi="Arial" w:cs="Arial"/>
        </w:rPr>
      </w:pPr>
      <w:r w:rsidRPr="005D30A0">
        <w:rPr>
          <w:rFonts w:ascii="Arial" w:eastAsia="Calibri" w:hAnsi="Arial" w:cs="Arial"/>
        </w:rPr>
        <w:t xml:space="preserve">modyfikacji delegacji ustawowej z art. 22a ust. 12 do wydania rozporządzenia sprawie listy podmiotów uprawnionych do przeprowadzania badań lekarskich i psychologicznych oraz orzekania w celu sprawdzenia spełnienia wymagań zdrowotnych, fizycznych i psychicznych, niezbędnych do uzyskania licencji maszynisty oraz świadectwa maszynisty, a także zachowania ich ważności – modyfikacja ta polega na dostosowaniu terminologii stosowanej w projekcie ustawy i tym samym zastosowaniu tej terminologii również w rozporządzeniu wydanym na podstawie tej delegacji ustawowej; </w:t>
      </w:r>
    </w:p>
    <w:p w14:paraId="4D5A90C0" w14:textId="77777777" w:rsidR="005D30A0" w:rsidRPr="005D30A0" w:rsidRDefault="005D30A0" w:rsidP="005D30A0">
      <w:pPr>
        <w:pStyle w:val="Akapitzlist"/>
        <w:numPr>
          <w:ilvl w:val="0"/>
          <w:numId w:val="6"/>
        </w:numPr>
        <w:spacing w:after="0" w:line="300" w:lineRule="auto"/>
        <w:jc w:val="both"/>
        <w:rPr>
          <w:rFonts w:ascii="Arial" w:eastAsia="Calibri" w:hAnsi="Arial" w:cs="Arial"/>
        </w:rPr>
      </w:pPr>
      <w:r w:rsidRPr="005D30A0">
        <w:rPr>
          <w:rFonts w:ascii="Arial" w:eastAsia="Calibri" w:hAnsi="Arial" w:cs="Arial"/>
        </w:rPr>
        <w:t xml:space="preserve">uchyleniu delegacji ustawowej z art. 22b ust. 22 do wydania rozporządzenia w sprawie wymagań zdrowotnych, badań lekarskich i psychologicznych oraz oceny zdolności fizycznej i psychicznej osób ubiegających się o świadectwo maszynisty albo o zachowanie jego ważności – ze względu na to, że zniesione zostaną badania lekarskie i psychologiczne przy ubieganiu się o świadectwo maszynisty albo przy zachowaniu jego ważności; </w:t>
      </w:r>
    </w:p>
    <w:p w14:paraId="266FF715" w14:textId="77777777" w:rsidR="005D30A0" w:rsidRPr="005D30A0" w:rsidRDefault="005D30A0" w:rsidP="005D30A0">
      <w:pPr>
        <w:pStyle w:val="Akapitzlist"/>
        <w:numPr>
          <w:ilvl w:val="0"/>
          <w:numId w:val="6"/>
        </w:numPr>
        <w:spacing w:after="0" w:line="300" w:lineRule="auto"/>
        <w:jc w:val="both"/>
        <w:rPr>
          <w:rFonts w:ascii="Arial" w:eastAsia="Calibri" w:hAnsi="Arial" w:cs="Arial"/>
        </w:rPr>
      </w:pPr>
      <w:r w:rsidRPr="005D30A0">
        <w:rPr>
          <w:rFonts w:ascii="Arial" w:eastAsia="Calibri" w:hAnsi="Arial" w:cs="Arial"/>
        </w:rPr>
        <w:t xml:space="preserve">dostosowaniu do wymogów dyrektywy 2007/59/WE częstotliwości badań w celu utrzymania ważności licencji maszynisty – zgodnie z ww. dyrektywą częstotliwość ta wynosi 3 lata dla osób do 55 roku życia, a dotychczas zgodnie z art. 22 ust. 2c ustawy o transporcie kolejowym częstotliwość badań wynosi 2 lata dla osób do 55 roku życia; </w:t>
      </w:r>
    </w:p>
    <w:p w14:paraId="3066B899" w14:textId="77777777" w:rsidR="005D30A0" w:rsidRPr="005D30A0" w:rsidRDefault="005D30A0" w:rsidP="005D30A0">
      <w:pPr>
        <w:pStyle w:val="Akapitzlist"/>
        <w:numPr>
          <w:ilvl w:val="0"/>
          <w:numId w:val="6"/>
        </w:numPr>
        <w:spacing w:after="0" w:line="300" w:lineRule="auto"/>
        <w:jc w:val="both"/>
        <w:rPr>
          <w:rFonts w:ascii="Arial" w:eastAsia="Calibri" w:hAnsi="Arial" w:cs="Arial"/>
        </w:rPr>
      </w:pPr>
      <w:r w:rsidRPr="005D30A0">
        <w:rPr>
          <w:rFonts w:ascii="Arial" w:eastAsia="Calibri" w:hAnsi="Arial" w:cs="Arial"/>
        </w:rPr>
        <w:t xml:space="preserve">zmianie dotychczasowych przepisów materialnych dotyczących pracowników zatrudnionych na stanowiskach bezpośrednio związanych z prowadzeniem i bezpieczeństwem ruchu kolejowego oraz z prowadzeniem określonych rodzajów </w:t>
      </w:r>
      <w:r w:rsidRPr="005D30A0">
        <w:rPr>
          <w:rFonts w:ascii="Arial" w:eastAsia="Calibri" w:hAnsi="Arial" w:cs="Arial"/>
        </w:rPr>
        <w:lastRenderedPageBreak/>
        <w:t xml:space="preserve">pojazdów kolejowych – do tych pracowników stosuje się wprost przepisy rozporządzenia wykonawczego Komisji (UE) 2019/773 z dnia 16 maja 2019 r. dotyczącego TSI w zakresie podsystemu „Ruch kolejowy” systemu kolei w Unii Europejskiej i uchylającego decyzję 2012/757/UE, oraz uchyleniu delegacji ustawowej z art. 22d; </w:t>
      </w:r>
    </w:p>
    <w:p w14:paraId="6FC4827F" w14:textId="77777777" w:rsidR="005D30A0" w:rsidRPr="005D30A0" w:rsidRDefault="005D30A0" w:rsidP="005D30A0">
      <w:pPr>
        <w:pStyle w:val="Akapitzlist"/>
        <w:numPr>
          <w:ilvl w:val="0"/>
          <w:numId w:val="6"/>
        </w:numPr>
        <w:spacing w:after="0" w:line="300" w:lineRule="auto"/>
        <w:jc w:val="both"/>
        <w:rPr>
          <w:rFonts w:ascii="Arial" w:eastAsia="Calibri" w:hAnsi="Arial" w:cs="Arial"/>
        </w:rPr>
      </w:pPr>
      <w:r w:rsidRPr="005D30A0">
        <w:rPr>
          <w:rFonts w:ascii="Arial" w:eastAsia="Calibri" w:hAnsi="Arial" w:cs="Arial"/>
        </w:rPr>
        <w:t xml:space="preserve">modyfikacji przepisu w art. 22b ust. 18 polegającej na wprowadzeniu zasady, zgodnie z którą jeżeli maszynista albo kandydat na maszynistę ubiegający się o świadectwo maszynisty nie posiadają świadectwa maszynisty uprawniającego do jazdy po infrastrukturze kolejowej lub znajomości odcinków linii kolejowych, na których mają prowadzić pojazd kolejowy lub pociąg, mogą go prowadzić, pod warunkiem że podczas jazdy obok nich znajduje się inny maszynista posiadający świadectwo maszynisty uprawniające do jazdy po tej infrastrukturze kolejowej lub przedstawiciel zarządcy posiadający udokumentowaną znajomość tych odcinków – dotychczasowy przepis ustawy w tym zakresie w art. 22b ust. 18 nie był w pełni zgodny z dyrektywą 2007/59/WE, ponieważ odnosił się tylko do znajomości odcinków infrastruktury kolejowej. </w:t>
      </w:r>
    </w:p>
    <w:p w14:paraId="4A5D9BC5" w14:textId="60CF35D3" w:rsidR="00A66597" w:rsidRPr="005D30A0" w:rsidRDefault="005D30A0" w:rsidP="005D30A0">
      <w:pPr>
        <w:spacing w:after="0" w:line="300" w:lineRule="auto"/>
        <w:jc w:val="both"/>
        <w:rPr>
          <w:rFonts w:ascii="Arial" w:hAnsi="Arial" w:cs="Arial"/>
        </w:rPr>
      </w:pPr>
      <w:r w:rsidRPr="005D30A0">
        <w:rPr>
          <w:rFonts w:ascii="Arial" w:eastAsia="Calibri" w:hAnsi="Arial" w:cs="Arial"/>
        </w:rPr>
        <w:t>Nie ma możliwości osiągnięcia celu projektu za pomocą innych środków niż zmiana ustawy.</w:t>
      </w:r>
    </w:p>
    <w:p w14:paraId="69FCDE81" w14:textId="77777777" w:rsidR="005D30A0" w:rsidRDefault="005D30A0" w:rsidP="00A66597">
      <w:pPr>
        <w:spacing w:after="0" w:line="300" w:lineRule="auto"/>
        <w:jc w:val="both"/>
        <w:rPr>
          <w:rFonts w:ascii="Arial" w:hAnsi="Arial" w:cs="Arial"/>
        </w:rPr>
      </w:pPr>
    </w:p>
    <w:p w14:paraId="009016CC" w14:textId="77777777" w:rsidR="005D30A0" w:rsidRPr="005D30A0" w:rsidRDefault="005D30A0" w:rsidP="005D30A0">
      <w:pPr>
        <w:spacing w:after="0" w:line="300" w:lineRule="auto"/>
        <w:jc w:val="both"/>
        <w:rPr>
          <w:rFonts w:ascii="Arial" w:hAnsi="Arial" w:cs="Arial"/>
        </w:rPr>
      </w:pPr>
      <w:r w:rsidRPr="005D30A0">
        <w:rPr>
          <w:rFonts w:ascii="Arial" w:hAnsi="Arial" w:cs="Arial"/>
        </w:rPr>
        <w:t>Przedmiotowy projekt aktu prawnego wraz z Uzasadnieniem oraz Oceną Skutków Regulacji dostępny jest na stronach Rządowego Centrum Legislacji pod adresem:</w:t>
      </w:r>
    </w:p>
    <w:p w14:paraId="4DEB7B88" w14:textId="05B092A2" w:rsidR="005D30A0" w:rsidRDefault="005D30A0" w:rsidP="005D30A0">
      <w:pPr>
        <w:spacing w:after="0" w:line="300" w:lineRule="auto"/>
        <w:jc w:val="both"/>
        <w:rPr>
          <w:rFonts w:ascii="Arial" w:hAnsi="Arial" w:cs="Arial"/>
        </w:rPr>
      </w:pPr>
      <w:hyperlink r:id="rId6" w:history="1">
        <w:r w:rsidRPr="00066214">
          <w:rPr>
            <w:rStyle w:val="Hipercze"/>
            <w:rFonts w:ascii="Arial" w:hAnsi="Arial" w:cs="Arial"/>
          </w:rPr>
          <w:t>https://legislacja.rcl.gov.pl/projekt/12410400/katalog/1</w:t>
        </w:r>
        <w:r w:rsidRPr="00066214">
          <w:rPr>
            <w:rStyle w:val="Hipercze"/>
            <w:rFonts w:ascii="Arial" w:hAnsi="Arial" w:cs="Arial"/>
          </w:rPr>
          <w:t>3</w:t>
        </w:r>
        <w:r w:rsidRPr="00066214">
          <w:rPr>
            <w:rStyle w:val="Hipercze"/>
            <w:rFonts w:ascii="Arial" w:hAnsi="Arial" w:cs="Arial"/>
          </w:rPr>
          <w:t>204814#13204814</w:t>
        </w:r>
      </w:hyperlink>
      <w:r>
        <w:rPr>
          <w:rFonts w:ascii="Arial" w:hAnsi="Arial" w:cs="Arial"/>
        </w:rPr>
        <w:t xml:space="preserve"> </w:t>
      </w:r>
    </w:p>
    <w:p w14:paraId="13E9321F" w14:textId="77777777" w:rsidR="005D30A0" w:rsidRDefault="005D30A0" w:rsidP="005D30A0">
      <w:pPr>
        <w:spacing w:after="0" w:line="300" w:lineRule="auto"/>
        <w:jc w:val="both"/>
        <w:rPr>
          <w:rFonts w:ascii="Arial" w:hAnsi="Arial" w:cs="Arial"/>
        </w:rPr>
      </w:pPr>
    </w:p>
    <w:p w14:paraId="21A74EDF" w14:textId="23A6A9D4" w:rsidR="005D30A0" w:rsidRDefault="005D30A0" w:rsidP="005D30A0">
      <w:pPr>
        <w:spacing w:after="0" w:line="300" w:lineRule="auto"/>
        <w:jc w:val="both"/>
        <w:rPr>
          <w:rFonts w:ascii="Arial" w:hAnsi="Arial" w:cs="Arial"/>
        </w:rPr>
      </w:pPr>
      <w:r w:rsidRPr="005D30A0">
        <w:rPr>
          <w:rFonts w:ascii="Arial" w:hAnsi="Arial" w:cs="Arial"/>
        </w:rPr>
        <w:t>Projekt jest obecnie jednocześnie na etapie uzgodnień, konsultacji publicznych i opiniowania.</w:t>
      </w:r>
    </w:p>
    <w:p w14:paraId="2F9D9B94" w14:textId="77777777" w:rsidR="005D30A0" w:rsidRPr="00A66597" w:rsidRDefault="005D30A0" w:rsidP="00A66597">
      <w:pPr>
        <w:spacing w:after="0" w:line="300" w:lineRule="auto"/>
        <w:jc w:val="both"/>
        <w:rPr>
          <w:rFonts w:ascii="Arial" w:hAnsi="Arial" w:cs="Arial"/>
        </w:rPr>
      </w:pPr>
    </w:p>
    <w:p w14:paraId="47134880" w14:textId="32EC2FF2" w:rsidR="00AD7F1E" w:rsidRPr="002164C6" w:rsidRDefault="005D30A0" w:rsidP="00AD7F1E">
      <w:pPr>
        <w:pStyle w:val="Akapitzlist"/>
        <w:numPr>
          <w:ilvl w:val="0"/>
          <w:numId w:val="3"/>
        </w:numPr>
        <w:spacing w:after="0" w:line="300" w:lineRule="auto"/>
        <w:jc w:val="both"/>
        <w:rPr>
          <w:rFonts w:ascii="Arial" w:hAnsi="Arial" w:cs="Arial"/>
          <w:b/>
          <w:bCs/>
          <w:u w:val="single"/>
        </w:rPr>
      </w:pPr>
      <w:r w:rsidRPr="002164C6">
        <w:rPr>
          <w:rFonts w:ascii="Arial" w:hAnsi="Arial" w:cs="Arial"/>
          <w:b/>
          <w:bCs/>
          <w:u w:val="single"/>
        </w:rPr>
        <w:t>P</w:t>
      </w:r>
      <w:r w:rsidRPr="002164C6">
        <w:rPr>
          <w:rFonts w:ascii="Arial" w:hAnsi="Arial" w:cs="Arial"/>
          <w:b/>
          <w:bCs/>
          <w:u w:val="single"/>
        </w:rPr>
        <w:t>rojekt ustawy o zmianie ustawy – Prawo energetyczne (UC121).</w:t>
      </w:r>
    </w:p>
    <w:p w14:paraId="49D13296" w14:textId="77777777" w:rsidR="00AD7F1E" w:rsidRPr="005D30A0" w:rsidRDefault="00AD7F1E" w:rsidP="005D30A0">
      <w:pPr>
        <w:spacing w:after="0" w:line="300" w:lineRule="auto"/>
        <w:jc w:val="both"/>
        <w:rPr>
          <w:rFonts w:ascii="Arial" w:hAnsi="Arial" w:cs="Arial"/>
        </w:rPr>
      </w:pPr>
    </w:p>
    <w:p w14:paraId="679030B2"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Kierunki transformacji sektora ciepłowniczego w zasadniczy sposób wyznacza dyrektywa Parlamentu Europejskiego i Rady (UE) 2023/1791 z dnia 13 września 2023 r. w sprawie efektywności energetycznej oraz zmieniająca rozporządzenie (UE) 2023/955, zwana dalej „dyrektywą EED”.  </w:t>
      </w:r>
    </w:p>
    <w:p w14:paraId="21A90651"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Głęboka transformacja sektora ciepłowniczego wiąże się z niespotykaną dotychczas skalą nakładów inwestycyjnych na modernizację zarówno części wytwarzania, jak również dystrybucyjnej. Wysoki udział węgla w wytwarzaniu ciepła jest jednym z podstawowych wyzwań, a jednym z celów jest odejście od wykorzystywania tego paliwa na rzecz technologii o niższej emisji CO2. Koniecznością stała się poprawa warunków inwestycyjnych oraz ograniczenie barier rozwoju i ryzyka, aby umożliwić skuteczną realizację procesu transformacji. W tym zakresie krytycznym aspektem stał się w szczególności wzrost udziału OZE w ciepłownictwie, wykorzystanie ciepła odpadowego oraz zapewnienie statusu efektywnego systemu ciepłowniczego. </w:t>
      </w:r>
    </w:p>
    <w:p w14:paraId="6C64093F"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W celu zapewnienia prawidłowej implementacji dyrektywy EED oraz wprowadzenia niezbędnych zmian w krajowym porządku prawnym, aby zrealizować cel dotyczący transformacji w ciepłownictwie, niezbędne jest uchwalenie zmian w ustawie z dnia 10 kwietnia 1997 r. – Prawo energetyczne (Dz. U. z 2026 r. poz. 43, 516 i 07, zwanej dalej „ustawą – Prawo energetyczne”).  </w:t>
      </w:r>
    </w:p>
    <w:p w14:paraId="54C39C17"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lastRenderedPageBreak/>
        <w:t xml:space="preserve">Termin transpozycji EED – 11 października 2025 r. </w:t>
      </w:r>
    </w:p>
    <w:p w14:paraId="6F47EEE7"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Duża część przepisów zmienionej dyrektywy EED, w zakresie przepisów dotyczących ciepłownictwa, została już zaimplementowana do prawa krajowego. Przedstawiony projekt ustawy zakłada wdrożenie regulacji, które nie znajdują odzwierciedlenia w polskim prawie oraz takich regulacji, które wymagały odpowiedniego doszczegółowienia bądź uzupełnienia. </w:t>
      </w:r>
    </w:p>
    <w:p w14:paraId="35A4F7E0"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Stosownie do wymagań wdrażanej dyrektywy EED projektowana ustawa wprowadza: </w:t>
      </w:r>
    </w:p>
    <w:p w14:paraId="14C60BD8"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nową regulację dotyczącą podstawowych praw umownych w zakresie ogrzewania, chłodzenia i ciepłej wody użytkowej, w szczególności w zakresie dodatkowych elementów, jakie powinna zawierać umowa sprzedaży ciepła oraz umowa kompleksowa, których stroną jest odbiorca końcowy ciepła, tj. m.in. informacji o metodzie wszczynania procedur pozasądowego rozstrzygania sporów, jak również informacji dotyczących praw konsumenta, w tym informacji dotyczących rozpatrywania skarg; </w:t>
      </w:r>
    </w:p>
    <w:p w14:paraId="0CC10B2E"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uregulowanie dodatkowych obowiązków informacyjnych przedsiębiorstwa energetycznego prowadzącego działalność wytwarzania ciepła, jego przesyłania lub dystrybucji oraz obrotu ciepłem względem odbiorców końcowych ciepła (w tym obowiązku dostarczenia streszczenia kluczowych warunków umowy oraz egzemplarza umowy); </w:t>
      </w:r>
    </w:p>
    <w:p w14:paraId="64D68F8B"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nowe kryteria dla efektywnego systemu ciepłowniczego lub chłodniczego, obowiązujące w ramach przedziałów czasowych określonych w art. 26 ust. 1 dyrektywy EED oraz kryteria alternatywne, wobec nich, oparte na wielkości emisji gazów cieplarnianych, opisane w art. 26 ust. 2 dyrektywy EED;</w:t>
      </w:r>
    </w:p>
    <w:p w14:paraId="164DAB4E"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zmianę przepisów dotyczących planowania krajowego i lokalnego, w szczególności włączenie kompleksowej oceny w zakresie ogrzewania i chłodzenia do zintegrowanego krajowego planu w dziedzinie energii i klimatu oraz jego aktualizacji; </w:t>
      </w:r>
    </w:p>
    <w:p w14:paraId="3CB180B7"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nałożenie na przedsiębiorstwa energetyczne zajmujące się przesyłaniem i dystrybucją ciepła lub chłodu, których systemów ciepłowniczych lub chłodniczych dotyczy kompleksowa ocena w zakresie ogrzewania i chłodzenia, i przedsiębiorstwa energetyczne zajmujące się wytwarzaniem ciepła lub chłodu, których urządzenia lub instalacje służące do wytwarzania ciepła lub chłodu wchodzą w skład systemów ciepłowniczych lub chłodniczych objętych tą oceną, obowiązku przekazania ministrowi właściwemu do spraw energii informacji niezbędnych do sporządzenia tej kompleksowej oceny; </w:t>
      </w:r>
    </w:p>
    <w:p w14:paraId="00A3BADC"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wprowadzenie regulacji zobowiązujących władze lokalne i regionalne do przygotowania lokalnych planów w zakresie ogrzewania i chłodzenia co najmniej w gminach, w których całkowita liczba ludności przekracza 45 000;  </w:t>
      </w:r>
    </w:p>
    <w:p w14:paraId="24443D40"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doprecyzowanie pojęcia „energia elektryczna wytwarzana w wysokosprawnej kogeneracji”, w tym dookreślenie zasad pozwalających na uniknięcie wątpliwości co do kwalifikacji danej modernizacji jako znacznej, oraz określenie maksymalnej wartości kosztów porównywalnej nowej jednostki wytwórczej i terminu zakończenia modernizacji; </w:t>
      </w:r>
    </w:p>
    <w:p w14:paraId="68EE83FC"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wprowadzenie sposobu obliczenia jednostkowego wskaźnika emisji dwutlenku węgla na 1 MWh energii wyprodukowanej w procesie skojarzonego wytwarzania (w tym energii cieplnej/chłodniczej, energii elektrycznej i energii mechanicznej); </w:t>
      </w:r>
    </w:p>
    <w:p w14:paraId="214A47AF"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lastRenderedPageBreak/>
        <w:t xml:space="preserve">wprowadzenie nowych wymagań w przypadku budowy systemu ciepłowniczego lub chłodniczego lub znacznej modernizacji jednostek zaopatrujących ten system ciepłowniczy lub chłodniczy, tak aby m.in.: </w:t>
      </w:r>
    </w:p>
    <w:p w14:paraId="39ACBA60" w14:textId="77777777" w:rsidR="005D30A0" w:rsidRPr="005D30A0" w:rsidRDefault="005D30A0" w:rsidP="005D30A0">
      <w:pPr>
        <w:pStyle w:val="Akapitzlist"/>
        <w:numPr>
          <w:ilvl w:val="1"/>
          <w:numId w:val="7"/>
        </w:numPr>
        <w:spacing w:after="0" w:line="300" w:lineRule="auto"/>
        <w:ind w:left="1134" w:hanging="283"/>
        <w:jc w:val="both"/>
        <w:rPr>
          <w:rFonts w:ascii="Arial" w:eastAsia="Calibri" w:hAnsi="Arial" w:cs="Arial"/>
        </w:rPr>
      </w:pPr>
      <w:r w:rsidRPr="005D30A0">
        <w:rPr>
          <w:rFonts w:ascii="Arial" w:eastAsia="Calibri" w:hAnsi="Arial" w:cs="Arial"/>
        </w:rPr>
        <w:t xml:space="preserve">spełniał on kryteria określone w art. 26 ust. 1 lub 2 dyrektywy EED mające zastosowanie w momencie, gdy system ten rozpoczyna lub kontynuuje eksploatację po zakończeniu jego budowy lub znacznej modernizacji oraz </w:t>
      </w:r>
    </w:p>
    <w:p w14:paraId="3276B863" w14:textId="77777777" w:rsidR="005D30A0" w:rsidRPr="005D30A0" w:rsidRDefault="005D30A0" w:rsidP="005D30A0">
      <w:pPr>
        <w:pStyle w:val="Akapitzlist"/>
        <w:numPr>
          <w:ilvl w:val="1"/>
          <w:numId w:val="7"/>
        </w:numPr>
        <w:spacing w:after="0" w:line="300" w:lineRule="auto"/>
        <w:ind w:left="1134" w:hanging="283"/>
        <w:jc w:val="both"/>
        <w:rPr>
          <w:rFonts w:ascii="Arial" w:eastAsia="Calibri" w:hAnsi="Arial" w:cs="Arial"/>
        </w:rPr>
      </w:pPr>
      <w:r w:rsidRPr="005D30A0">
        <w:rPr>
          <w:rFonts w:ascii="Arial" w:eastAsia="Calibri" w:hAnsi="Arial" w:cs="Arial"/>
        </w:rPr>
        <w:t xml:space="preserve">nie nastąpił wzrost wykorzystania paliw kopalnych innych niż gaz ziemny w istniejących źródłach ciepła w porównaniu z rocznym zużyciem uśrednionym dla poprzednich trzech lat kalendarzowych pełnej eksploatacji przed modernizacją, </w:t>
      </w:r>
    </w:p>
    <w:p w14:paraId="0F8C7AB2" w14:textId="77777777" w:rsidR="005D30A0" w:rsidRPr="005D30A0" w:rsidRDefault="005D30A0" w:rsidP="005D30A0">
      <w:pPr>
        <w:pStyle w:val="Akapitzlist"/>
        <w:numPr>
          <w:ilvl w:val="1"/>
          <w:numId w:val="7"/>
        </w:numPr>
        <w:spacing w:after="0" w:line="300" w:lineRule="auto"/>
        <w:ind w:left="1134" w:hanging="283"/>
        <w:jc w:val="both"/>
        <w:rPr>
          <w:rFonts w:ascii="Arial" w:eastAsia="Calibri" w:hAnsi="Arial" w:cs="Arial"/>
        </w:rPr>
      </w:pPr>
      <w:r w:rsidRPr="005D30A0">
        <w:rPr>
          <w:rFonts w:ascii="Arial" w:eastAsia="Calibri" w:hAnsi="Arial" w:cs="Arial"/>
        </w:rPr>
        <w:t xml:space="preserve">żadne nowe źródła ciepła w tym systemie nie wykorzystywały paliw kopalnych z wyjątkiem gazu ziemnego, w przypadku budowy takiego źródła lub znacznej jego modernizacji, które zakończą się do dnia 31 grudnia 2030 r. </w:t>
      </w:r>
    </w:p>
    <w:p w14:paraId="1B4BB224"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obowiązek sporządzenia analizy kosztów i korzyści pod względem zastosowania wysokosprawnej kogeneracji lub wykorzystania ciepła odpadowego lub z innych zastosowań umożliwiających odzyskiwanie ciepła odpadowego dla: </w:t>
      </w:r>
    </w:p>
    <w:p w14:paraId="41FDE0C0" w14:textId="77777777" w:rsidR="005D30A0" w:rsidRPr="005D30A0" w:rsidRDefault="005D30A0" w:rsidP="005D30A0">
      <w:pPr>
        <w:pStyle w:val="Akapitzlist"/>
        <w:numPr>
          <w:ilvl w:val="1"/>
          <w:numId w:val="7"/>
        </w:numPr>
        <w:spacing w:after="0" w:line="300" w:lineRule="auto"/>
        <w:ind w:left="1134" w:hanging="283"/>
        <w:jc w:val="both"/>
        <w:rPr>
          <w:rFonts w:ascii="Arial" w:eastAsia="Calibri" w:hAnsi="Arial" w:cs="Arial"/>
        </w:rPr>
      </w:pPr>
      <w:r w:rsidRPr="005D30A0">
        <w:rPr>
          <w:rFonts w:ascii="Arial" w:eastAsia="Calibri" w:hAnsi="Arial" w:cs="Arial"/>
        </w:rPr>
        <w:t xml:space="preserve">instalacji cieplnej, której średnia roczna całkowita moc nominalna cieplna przekracza 10 MW, </w:t>
      </w:r>
    </w:p>
    <w:p w14:paraId="43A3FF24" w14:textId="77777777" w:rsidR="005D30A0" w:rsidRPr="005D30A0" w:rsidRDefault="005D30A0" w:rsidP="005D30A0">
      <w:pPr>
        <w:pStyle w:val="Akapitzlist"/>
        <w:numPr>
          <w:ilvl w:val="1"/>
          <w:numId w:val="7"/>
        </w:numPr>
        <w:spacing w:after="0" w:line="300" w:lineRule="auto"/>
        <w:ind w:left="1134" w:hanging="283"/>
        <w:jc w:val="both"/>
        <w:rPr>
          <w:rFonts w:ascii="Arial" w:eastAsia="Calibri" w:hAnsi="Arial" w:cs="Arial"/>
        </w:rPr>
      </w:pPr>
      <w:r w:rsidRPr="005D30A0">
        <w:rPr>
          <w:rFonts w:ascii="Arial" w:eastAsia="Calibri" w:hAnsi="Arial" w:cs="Arial"/>
        </w:rPr>
        <w:t xml:space="preserve">instalacji przemysłowej, której średnia roczna całkowita moc nominalna cieplna przekracza 8 MW, </w:t>
      </w:r>
    </w:p>
    <w:p w14:paraId="057FD64F" w14:textId="77777777" w:rsidR="005D30A0" w:rsidRPr="005D30A0" w:rsidRDefault="005D30A0" w:rsidP="005D30A0">
      <w:pPr>
        <w:pStyle w:val="Akapitzlist"/>
        <w:numPr>
          <w:ilvl w:val="1"/>
          <w:numId w:val="7"/>
        </w:numPr>
        <w:spacing w:after="0" w:line="300" w:lineRule="auto"/>
        <w:ind w:left="1134" w:hanging="283"/>
        <w:jc w:val="both"/>
        <w:rPr>
          <w:rFonts w:ascii="Arial" w:eastAsia="Calibri" w:hAnsi="Arial" w:cs="Arial"/>
        </w:rPr>
      </w:pPr>
      <w:r w:rsidRPr="005D30A0">
        <w:rPr>
          <w:rFonts w:ascii="Arial" w:eastAsia="Calibri" w:hAnsi="Arial" w:cs="Arial"/>
        </w:rPr>
        <w:t xml:space="preserve">obiektu infrastruktury usługowej, takiego jak oczyszczalnia ścieków lub instalacja skroplonego gazu ziemnego (LNG), w celu oceny wykorzystania ciepła odpadowego na terenie tego obiektu i poza nim, którego średnia roczna całkowita moc nominalna cieplna przekracza 7 MW, </w:t>
      </w:r>
    </w:p>
    <w:p w14:paraId="144D3A17" w14:textId="77777777" w:rsidR="005D30A0" w:rsidRPr="005D30A0" w:rsidRDefault="005D30A0" w:rsidP="005D30A0">
      <w:pPr>
        <w:pStyle w:val="Akapitzlist"/>
        <w:numPr>
          <w:ilvl w:val="1"/>
          <w:numId w:val="7"/>
        </w:numPr>
        <w:spacing w:after="0" w:line="300" w:lineRule="auto"/>
        <w:ind w:left="1134" w:hanging="283"/>
        <w:jc w:val="both"/>
        <w:rPr>
          <w:rFonts w:ascii="Arial" w:eastAsia="Calibri" w:hAnsi="Arial" w:cs="Arial"/>
        </w:rPr>
      </w:pPr>
      <w:r w:rsidRPr="005D30A0">
        <w:rPr>
          <w:rFonts w:ascii="Arial" w:eastAsia="Calibri" w:hAnsi="Arial" w:cs="Arial"/>
        </w:rPr>
        <w:t xml:space="preserve">ośrodków przetwarzania danych, których całkowita znamionowa moc wejściowa przekracza 1 MW, chyba że są w stanie wykazać, że nie jest to technicznie lub ekonomicznie wykonalne. </w:t>
      </w:r>
    </w:p>
    <w:p w14:paraId="71BA5054"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 xml:space="preserve">obowiązek nałożony na podmioty planujące budowę lub znaczną modernizację jednostki wytwórczej o mocy nominalnej cieplnej przekraczającej 10 MW, sporządzenia analizy kosztów i korzyści przebudowy lub znacznej modernizacji tej jednostki wytwórczej na jednostkę kogeneracji; </w:t>
      </w:r>
    </w:p>
    <w:p w14:paraId="13A8ADC4" w14:textId="77777777" w:rsidR="005D30A0" w:rsidRPr="005D30A0" w:rsidRDefault="005D30A0" w:rsidP="005D30A0">
      <w:pPr>
        <w:pStyle w:val="Akapitzlist"/>
        <w:numPr>
          <w:ilvl w:val="0"/>
          <w:numId w:val="7"/>
        </w:numPr>
        <w:spacing w:after="0" w:line="300" w:lineRule="auto"/>
        <w:ind w:left="709" w:hanging="425"/>
        <w:jc w:val="both"/>
        <w:rPr>
          <w:rFonts w:ascii="Arial" w:eastAsia="Calibri" w:hAnsi="Arial" w:cs="Arial"/>
        </w:rPr>
      </w:pPr>
      <w:r w:rsidRPr="005D30A0">
        <w:rPr>
          <w:rFonts w:ascii="Arial" w:eastAsia="Calibri" w:hAnsi="Arial" w:cs="Arial"/>
        </w:rPr>
        <w:t>dostosowanie przepisów dotyczących obowiązku opracowania przez przedsiębiorstwo energetyczne zajmujące się przesyłaniem lub dystrybucją ciepła o mocy zamówionej przez odbiorców przekraczającej 5 MW (w przypadku, gdy system ciepłowniczy lub chłodniczy nie spełnia kryteriów efektywnego systemu ciepłowniczego lub chłodniczego) planu rozwoju systemów ciepłowniczych lub chłodniczych w zakresie modernizacji, rozbudowy albo budowy nowych źródeł ciepła, w tym źródeł stanowiących instalacje odnawialnego źródła energii oraz planowanej konwersji źródeł ciepła na jednostki wytwórcze będące jednostkami kogeneracji.</w:t>
      </w:r>
    </w:p>
    <w:p w14:paraId="491EE66F"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Rekomendowane rozwiązania:</w:t>
      </w:r>
    </w:p>
    <w:p w14:paraId="417B0CF0"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Ad. 1 i 2) W dyrektywie EED znalazła się nowa regulacja dotycząca podstawowych praw umownych w zakresie ogrzewania, chłodzenia i ciepłej wody użytkowej. Proponowany projekt ustawy przewiduje dostosowanie przepisów ustawy – Prawo energetyczne w tym zakresie, w szczególności przez wskazanie dodatkowych elementów, jakie powinna zawierać umowa sprzedaży ciepła lub chłodu oraz umowa kompleksowa, których stroną jest odbiorca końcowy </w:t>
      </w:r>
      <w:r w:rsidRPr="005D30A0">
        <w:rPr>
          <w:rFonts w:ascii="Arial" w:eastAsia="Calibri" w:hAnsi="Arial" w:cs="Arial"/>
        </w:rPr>
        <w:lastRenderedPageBreak/>
        <w:t xml:space="preserve">ciepła lub chłodu. Szczególnie istotne jest informowanie odbiorców końcowych na temat wszystkich mających zastosowanie taryf oraz opłat, przekazywanie informacji dotyczących praw konsumenta, obowiązek dostarczenia streszczenia kluczowych warunków umowy oraz egzemplarza umowy, jak również do zapewnienia odbiorcom końcowym, których to dotyczy, w przypadku planowanego wstrzymania dostaw ciepła, odpowiednich informacji na temat środków alternatywnych (takich jak np. zakaz wstrzymywania dostaw ciepła w określonym czasie), </w:t>
      </w:r>
      <w:proofErr w:type="spellStart"/>
      <w:r w:rsidRPr="005D30A0">
        <w:rPr>
          <w:rFonts w:ascii="Arial" w:eastAsia="Calibri" w:hAnsi="Arial" w:cs="Arial"/>
        </w:rPr>
        <w:t>niepóźniej</w:t>
      </w:r>
      <w:proofErr w:type="spellEnd"/>
      <w:r w:rsidRPr="005D30A0">
        <w:rPr>
          <w:rFonts w:ascii="Arial" w:eastAsia="Calibri" w:hAnsi="Arial" w:cs="Arial"/>
        </w:rPr>
        <w:t xml:space="preserve"> niż jeden miesiąc przed planowanym wstrzymaniem. Wprowadzony został również obowiązek informowania o sposobach rozpatrywania skarg i pozasądowego rozstrzygania sporów. </w:t>
      </w:r>
    </w:p>
    <w:p w14:paraId="28AC1A25"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Zaproponowane przepisy nie wykraczają poza treść implementowanych przepisów prawa europejskiego.</w:t>
      </w:r>
    </w:p>
    <w:p w14:paraId="6D73D7CD"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Ad. 3, 7–12) W celu implementacji zmienionej dyrektywy EED jest niezbędne wprowadzenie nowych kryteriów dla efektywnego systemu ciepłowniczego, obowiązujących w ramach przedziałów czasowych określonych w art. 26 ust. 1 dyrektywy. Projekt ustawy przewiduje, że za system efektywny będzie uznawany system, w którym: </w:t>
      </w:r>
    </w:p>
    <w:p w14:paraId="102AD5ED" w14:textId="77777777" w:rsidR="005D30A0" w:rsidRPr="005D30A0" w:rsidRDefault="005D30A0" w:rsidP="005D30A0">
      <w:pPr>
        <w:spacing w:after="0" w:line="300" w:lineRule="auto"/>
        <w:ind w:left="709" w:hanging="425"/>
        <w:jc w:val="both"/>
        <w:rPr>
          <w:rFonts w:ascii="Arial" w:eastAsia="Calibri" w:hAnsi="Arial" w:cs="Arial"/>
        </w:rPr>
      </w:pPr>
      <w:r w:rsidRPr="005D30A0">
        <w:rPr>
          <w:rFonts w:ascii="Arial" w:eastAsia="Calibri" w:hAnsi="Arial" w:cs="Arial"/>
        </w:rPr>
        <w:t xml:space="preserve">a) do dnia 31 grudnia 2027 r. wykorzystywana jest co najmniej: </w:t>
      </w:r>
    </w:p>
    <w:p w14:paraId="565DA1B7"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energia z odnawialnych źródeł energii lub  </w:t>
      </w:r>
    </w:p>
    <w:p w14:paraId="6111C14B"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ciepło odpadowe, lub </w:t>
      </w:r>
    </w:p>
    <w:p w14:paraId="013155F5"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75 % ciepło pochodzące z kogeneracji lub </w:t>
      </w:r>
    </w:p>
    <w:p w14:paraId="5CBB4735"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− 50 % </w:t>
      </w:r>
      <w:proofErr w:type="spellStart"/>
      <w:r w:rsidRPr="005D30A0">
        <w:rPr>
          <w:rFonts w:ascii="Arial" w:eastAsia="Calibri" w:hAnsi="Arial" w:cs="Arial"/>
        </w:rPr>
        <w:t>miksu</w:t>
      </w:r>
      <w:proofErr w:type="spellEnd"/>
      <w:r w:rsidRPr="005D30A0">
        <w:rPr>
          <w:rFonts w:ascii="Arial" w:eastAsia="Calibri" w:hAnsi="Arial" w:cs="Arial"/>
        </w:rPr>
        <w:t xml:space="preserve"> tych źródeł, </w:t>
      </w:r>
    </w:p>
    <w:p w14:paraId="17A7A6BB" w14:textId="77777777" w:rsidR="005D30A0" w:rsidRPr="005D30A0" w:rsidRDefault="005D30A0" w:rsidP="005D30A0">
      <w:pPr>
        <w:spacing w:after="0" w:line="300" w:lineRule="auto"/>
        <w:ind w:left="709" w:hanging="425"/>
        <w:jc w:val="both"/>
        <w:rPr>
          <w:rFonts w:ascii="Arial" w:eastAsia="Calibri" w:hAnsi="Arial" w:cs="Arial"/>
        </w:rPr>
      </w:pPr>
      <w:r w:rsidRPr="005D30A0">
        <w:rPr>
          <w:rFonts w:ascii="Arial" w:eastAsia="Calibri" w:hAnsi="Arial" w:cs="Arial"/>
        </w:rPr>
        <w:t xml:space="preserve">b) od 1 stycznia 2028 r. wykorzystywana jest co najmniej: </w:t>
      </w:r>
    </w:p>
    <w:p w14:paraId="15B41726"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energia z odnawialnych źródeł energii lub  </w:t>
      </w:r>
    </w:p>
    <w:p w14:paraId="38E8BDA9"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ciepło odpadowe, lub </w:t>
      </w:r>
    </w:p>
    <w:p w14:paraId="53C0C05B"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ciepło odpadowe i energia z odnawialnych źródeł energii lub </w:t>
      </w:r>
    </w:p>
    <w:p w14:paraId="24A0333C"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80 % ciepło pochodzące z wysokosprawnej kogeneracji, </w:t>
      </w:r>
    </w:p>
    <w:p w14:paraId="30DA45E9"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w:t>
      </w:r>
      <w:proofErr w:type="spellStart"/>
      <w:r w:rsidRPr="005D30A0">
        <w:rPr>
          <w:rFonts w:ascii="Arial" w:eastAsia="Calibri" w:hAnsi="Arial" w:cs="Arial"/>
        </w:rPr>
        <w:t>miks</w:t>
      </w:r>
      <w:proofErr w:type="spellEnd"/>
      <w:r w:rsidRPr="005D30A0">
        <w:rPr>
          <w:rFonts w:ascii="Arial" w:eastAsia="Calibri" w:hAnsi="Arial" w:cs="Arial"/>
        </w:rPr>
        <w:t xml:space="preserve"> ww. źródeł pod warunkiem, że udział energii z odnawialnych źródeł energii wynosi co najmniej 5 %, </w:t>
      </w:r>
    </w:p>
    <w:p w14:paraId="40B8CF91" w14:textId="77777777" w:rsidR="005D30A0" w:rsidRPr="005D30A0" w:rsidRDefault="005D30A0" w:rsidP="005D30A0">
      <w:pPr>
        <w:spacing w:after="0" w:line="300" w:lineRule="auto"/>
        <w:ind w:left="709" w:hanging="425"/>
        <w:jc w:val="both"/>
        <w:rPr>
          <w:rFonts w:ascii="Arial" w:eastAsia="Calibri" w:hAnsi="Arial" w:cs="Arial"/>
        </w:rPr>
      </w:pPr>
      <w:r w:rsidRPr="005D30A0">
        <w:rPr>
          <w:rFonts w:ascii="Arial" w:eastAsia="Calibri" w:hAnsi="Arial" w:cs="Arial"/>
        </w:rPr>
        <w:t xml:space="preserve">c) od 1 stycznia 2035 r. wykorzystywana jest co najmniej: </w:t>
      </w:r>
    </w:p>
    <w:p w14:paraId="0CFFB1F0"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energia z odnawialnych źródeł energii </w:t>
      </w:r>
    </w:p>
    <w:p w14:paraId="485A09DF"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ciepło odpadowe, lub </w:t>
      </w:r>
    </w:p>
    <w:p w14:paraId="41398701"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50 % ciepło odpadowe i energia z odnawialnych źródeł energii lub </w:t>
      </w:r>
    </w:p>
    <w:p w14:paraId="56FD06C8"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80 % </w:t>
      </w:r>
      <w:proofErr w:type="spellStart"/>
      <w:r w:rsidRPr="005D30A0">
        <w:rPr>
          <w:rFonts w:ascii="Arial" w:eastAsia="Calibri" w:hAnsi="Arial" w:cs="Arial"/>
        </w:rPr>
        <w:t>miks</w:t>
      </w:r>
      <w:proofErr w:type="spellEnd"/>
      <w:r w:rsidRPr="005D30A0">
        <w:rPr>
          <w:rFonts w:ascii="Arial" w:eastAsia="Calibri" w:hAnsi="Arial" w:cs="Arial"/>
        </w:rPr>
        <w:t xml:space="preserve"> ww. źródeł oraz ciepła pochodzącego z wysokosprawnej kogeneracji pod warunkiem, że udział energii z odnawialnych źródeł energii lub ciepła odpadowego wynosi co najmniej 35 %, </w:t>
      </w:r>
    </w:p>
    <w:p w14:paraId="43FA0331" w14:textId="77777777" w:rsidR="005D30A0" w:rsidRPr="005D30A0" w:rsidRDefault="005D30A0" w:rsidP="005D30A0">
      <w:pPr>
        <w:spacing w:after="0" w:line="300" w:lineRule="auto"/>
        <w:ind w:left="709" w:hanging="425"/>
        <w:jc w:val="both"/>
        <w:rPr>
          <w:rFonts w:ascii="Arial" w:eastAsia="Calibri" w:hAnsi="Arial" w:cs="Arial"/>
        </w:rPr>
      </w:pPr>
      <w:r w:rsidRPr="005D30A0">
        <w:rPr>
          <w:rFonts w:ascii="Arial" w:eastAsia="Calibri" w:hAnsi="Arial" w:cs="Arial"/>
        </w:rPr>
        <w:t xml:space="preserve">d) od 1 stycznia 2040 r. wykorzystywana jest co najmniej: </w:t>
      </w:r>
    </w:p>
    <w:p w14:paraId="69595527"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75 % energia z odnawialnych źródeł energii </w:t>
      </w:r>
    </w:p>
    <w:p w14:paraId="232497A8"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75 % ciepło odpadowe, lub </w:t>
      </w:r>
    </w:p>
    <w:p w14:paraId="4DDABD61"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75 % ciepło odpadowe i energia z odnawialnych źródeł energii lub </w:t>
      </w:r>
    </w:p>
    <w:p w14:paraId="5BA018AA"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− 95 % </w:t>
      </w:r>
      <w:proofErr w:type="spellStart"/>
      <w:r w:rsidRPr="005D30A0">
        <w:rPr>
          <w:rFonts w:ascii="Arial" w:eastAsia="Calibri" w:hAnsi="Arial" w:cs="Arial"/>
        </w:rPr>
        <w:t>miksu</w:t>
      </w:r>
      <w:proofErr w:type="spellEnd"/>
      <w:r w:rsidRPr="005D30A0">
        <w:rPr>
          <w:rFonts w:ascii="Arial" w:eastAsia="Calibri" w:hAnsi="Arial" w:cs="Arial"/>
        </w:rPr>
        <w:t xml:space="preserve"> ww. źródeł oraz ciepła pochodzącego z wysokosprawnej kogeneracji pod warunkiem, że udział energii z odnawialnych źródeł energii lub ciepła odpadowego wynosi co najmniej 35 %, </w:t>
      </w:r>
    </w:p>
    <w:p w14:paraId="27DF1736" w14:textId="77777777" w:rsidR="005D30A0" w:rsidRPr="005D30A0" w:rsidRDefault="005D30A0" w:rsidP="005D30A0">
      <w:pPr>
        <w:spacing w:after="0" w:line="300" w:lineRule="auto"/>
        <w:ind w:left="709" w:hanging="425"/>
        <w:jc w:val="both"/>
        <w:rPr>
          <w:rFonts w:ascii="Arial" w:eastAsia="Calibri" w:hAnsi="Arial" w:cs="Arial"/>
        </w:rPr>
      </w:pPr>
      <w:r w:rsidRPr="005D30A0">
        <w:rPr>
          <w:rFonts w:ascii="Arial" w:eastAsia="Calibri" w:hAnsi="Arial" w:cs="Arial"/>
        </w:rPr>
        <w:t xml:space="preserve">e) od 1 stycznia 2045 r. wykorzystywana jest co najmniej: </w:t>
      </w:r>
    </w:p>
    <w:p w14:paraId="348A4A36"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75 % energia ze odnawialnych źródeł energii </w:t>
      </w:r>
    </w:p>
    <w:p w14:paraId="384DBA0E"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t xml:space="preserve">− w 75 % ciepło odpadowe, lub </w:t>
      </w:r>
    </w:p>
    <w:p w14:paraId="18E78D05" w14:textId="77777777" w:rsidR="005D30A0" w:rsidRPr="005D30A0" w:rsidRDefault="005D30A0" w:rsidP="005D30A0">
      <w:pPr>
        <w:spacing w:after="0" w:line="300" w:lineRule="auto"/>
        <w:ind w:left="709" w:hanging="142"/>
        <w:jc w:val="both"/>
        <w:rPr>
          <w:rFonts w:ascii="Arial" w:eastAsia="Calibri" w:hAnsi="Arial" w:cs="Arial"/>
        </w:rPr>
      </w:pPr>
      <w:r w:rsidRPr="005D30A0">
        <w:rPr>
          <w:rFonts w:ascii="Arial" w:eastAsia="Calibri" w:hAnsi="Arial" w:cs="Arial"/>
        </w:rPr>
        <w:lastRenderedPageBreak/>
        <w:t xml:space="preserve">− w 75 % połączenie energii z odnawialnych źródeł energii i ciepła odpadowego wprowadzanej do sieci, </w:t>
      </w:r>
    </w:p>
    <w:p w14:paraId="0619BBCE" w14:textId="77777777" w:rsidR="005D30A0" w:rsidRPr="005D30A0" w:rsidRDefault="005D30A0" w:rsidP="005D30A0">
      <w:pPr>
        <w:spacing w:after="0" w:line="300" w:lineRule="auto"/>
        <w:ind w:left="709" w:hanging="425"/>
        <w:jc w:val="both"/>
        <w:rPr>
          <w:rFonts w:ascii="Arial" w:eastAsia="Calibri" w:hAnsi="Arial" w:cs="Arial"/>
        </w:rPr>
      </w:pPr>
      <w:r w:rsidRPr="005D30A0">
        <w:rPr>
          <w:rFonts w:ascii="Arial" w:eastAsia="Calibri" w:hAnsi="Arial" w:cs="Arial"/>
        </w:rPr>
        <w:t xml:space="preserve">f) od 1 stycznia 2050 r. wykorzystuje się wyłącznie energię z odnawialnych źródeł energii, wyłącznie ciepło odpadowe lub wyłącznie połączenie energii z odnawialnych źródeł energii i ciepła odpadowego </w:t>
      </w:r>
    </w:p>
    <w:p w14:paraId="24469026"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 pod warunkiem, że w przypadku budowy takiego systemu lub znacznej modernizacji jednostek zaopatrujących ten system ciepłowniczy lub chłodniczy spełniał kryteria określone powyżej mające zastosowanie w momencie, gdy system ten rozpoczyna lub kontynuuje eksploatację po zakończeniu jego budowy lub znacznej modernizacji oraz nie nastąpił wzrost wykorzystania paliw kopalnych innych niż gaz ziemny w istniejących źródłach ciepła w porównaniu z rocznym zużyciem uśrednionym dla poprzednich trzech lat kalendarzowych pełnej eksploatacji przed modernizacją; oraz żadne nowe źródła ciepła w tym systemie nie wykorzystywały paliw kopalnych z wyjątkiem gazu ziemnego, w przypadku budowy takiego źródła lub znacznej jego modernizacji, które zakończą się do dnia 31 grudnia 2030 r.  </w:t>
      </w:r>
    </w:p>
    <w:p w14:paraId="4214D221"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Aspekty dotyczące kryteriów uznania danego systemu za efektywny były konsultowane z przedstawicielami sektora ciepłowniczego. </w:t>
      </w:r>
    </w:p>
    <w:p w14:paraId="33CE0B0A"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Aktualnie tylko ok. 22 % systemów ciepłowniczych osiąga status efektywnego systemu ciepłowniczego zgodnie z art. 7b ust. 4 ustawy – Prawo energetyczne. Struktura wytwarzania ciepła w sektorze ciepłownictwa systemowego jest oparta w większości o paliwa kopalne. Zgodnie z najnowszym raportem URE w 2024 r. do wytworzenia 57,4 % ciepła, wykorzystano paliwa węglowe, 15,2 % paliwa gazowe, 6,6 % olej opałowy, 14,7 % odnawialne źródła energii oraz 6,1 % wykorzystując pozostałe paliwa. </w:t>
      </w:r>
    </w:p>
    <w:p w14:paraId="028A4A51"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Ograniczone wykorzystanie odnawialnych źródeł energii przyczynia się do utrzymywania wysokiego poziomu emisyjności sektora ciepłownictwa w Polsce. W związku z obecnym </w:t>
      </w:r>
      <w:proofErr w:type="spellStart"/>
      <w:r w:rsidRPr="005D30A0">
        <w:rPr>
          <w:rFonts w:ascii="Arial" w:eastAsia="Calibri" w:hAnsi="Arial" w:cs="Arial"/>
        </w:rPr>
        <w:t>miksem</w:t>
      </w:r>
      <w:proofErr w:type="spellEnd"/>
      <w:r w:rsidRPr="005D30A0">
        <w:rPr>
          <w:rFonts w:ascii="Arial" w:eastAsia="Calibri" w:hAnsi="Arial" w:cs="Arial"/>
        </w:rPr>
        <w:t xml:space="preserve"> paliwowym, wykorzystanie tylko alternatywnego kryterium uznania systemu za efektywny, opartego na poziomie emisji gazów cieplarnianych, wpłynęłoby na spadek ilości efektywnych systemów ciepłowniczych w Polsce.</w:t>
      </w:r>
    </w:p>
    <w:p w14:paraId="0E51A413"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W obecnej chwili, zdecydowano się na zastosowanie kryterium, w którym głównym czynnikiem decydującym o posiadaniu statusu efektywnego systemu ciepłowniczego, jest </w:t>
      </w:r>
      <w:proofErr w:type="spellStart"/>
      <w:r w:rsidRPr="005D30A0">
        <w:rPr>
          <w:rFonts w:ascii="Arial" w:eastAsia="Calibri" w:hAnsi="Arial" w:cs="Arial"/>
        </w:rPr>
        <w:t>miks</w:t>
      </w:r>
      <w:proofErr w:type="spellEnd"/>
      <w:r w:rsidRPr="005D30A0">
        <w:rPr>
          <w:rFonts w:ascii="Arial" w:eastAsia="Calibri" w:hAnsi="Arial" w:cs="Arial"/>
        </w:rPr>
        <w:t xml:space="preserve"> paliwowy oraz zastosowane technologie.  </w:t>
      </w:r>
    </w:p>
    <w:p w14:paraId="6D102B8B"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Przedsiębiorstwa energetyczne zainteresowane zastosowaniem alternatywnych kryteriów uznania systemu ciepłowniczego za efektywny, mogą je zastosować pod warunkiem złożenia wniosku do ministra właściwego do spraw energii, co najmniej na 12 miesięcy przed rozpoczęciem kolejnych okresów wynikających z art. 7b ust. 4c pkt 1– 3 ustawy – Prawo energetyczne.   </w:t>
      </w:r>
    </w:p>
    <w:p w14:paraId="20635EA5"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Minister właściwy do spraw energii przekaże Komisji Europejskiej wykaz przedsiębiorstw energetycznych, które zgłosiły zamiar stosowania kryteriów alternatywnych tj. opartych na wielkości emisji gazów cieplarnianych, co najmniej na sześć miesięcy przed rozpoczęciem każdego okresu. Podczas przekazania informuje się także o środkach wdrożonych w celu wypełnienia obowiązku dążenia do zwiększenia udziału energii ze źródeł odnawialnych oraz z ciepła odpadowego i chłodu odpadowego w systemach ciepłowniczych i chłodniczych, jeżeli nie zostały one już zgłoszone w najnowszej aktualizacji krajowego planu w dziedzinie energii i klimatu. W przypadku zastosowania kryteriów alternatywnych, przedsiębiorstwa </w:t>
      </w:r>
      <w:r w:rsidRPr="005D30A0">
        <w:rPr>
          <w:rFonts w:ascii="Arial" w:eastAsia="Calibri" w:hAnsi="Arial" w:cs="Arial"/>
        </w:rPr>
        <w:lastRenderedPageBreak/>
        <w:t xml:space="preserve">energetyczne, stosują te kryteria przez cały okres, o którym mowa odpowiednio w art. 7b ust. 4c pkt 1–3 ustawy – Prawo energetyczne.  </w:t>
      </w:r>
    </w:p>
    <w:p w14:paraId="1F32B031"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Status efektywnego systemu ciepłowniczego lub chłodniczego nie jest obowiązkowy, jednak niesie ze sobą szereg korzyści. Jedną z najważniejszych korzyści jest dostęp do systemów wsparcia. Kolejną korzyścią posiadania statusu efektywnego systemu ciepłowniczego lub chłodniczego jest zapewnienie przyłączenia nowych odbiorców ciepła. Natomiast jeżeli system </w:t>
      </w:r>
    </w:p>
    <w:p w14:paraId="769E0FE1"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ciepłowniczy nie posiada statusu efektywnego systemu, to podmiot może odłączyć się od sieci przez rozwiązanie lub zmianę umowy na dostarczanie ciepła do tego obiektu, w celu samodzielnego wytwarzania ciepła w indywidualnym źródle ciepła spełniającym warunki określone w art. 7b ust. 3 ustawy – Prawo energetyczne. Brak przyłączeń nowych odbiorców oraz </w:t>
      </w:r>
    </w:p>
    <w:p w14:paraId="28D420E7"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jednoczesne odłączanie się już istniejących może prowadzić do degradacji systemu ciepłowniczego i wynikającego z niej wzrostu cen ciepła, dla pozostałych odbiorców. Zjawisko to może spowodować, że ciepłownictwo systemowe może stać się nieatrakcyjne na tle pozostałych rozwiązań technologicznych.  </w:t>
      </w:r>
    </w:p>
    <w:p w14:paraId="6CFF02A0"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Ponadto, systemy ciepłownicze nieposiadające statusu efektywnego systemu ciepłowniczego zobowiązane są do zakupu oferowanego mu ciepła lub chłodu, wytworzonych w przyłączonych do sieci instalacjach odnawialnego źródła energii, w tym w instalacjach termicznego przekształcania odpadów, z wyłączeniem instalacji spalania wielopaliwowego stosujących paliwa kopalne, a także ciepła odpadowego w rozumieniu art. 3 pkt 20i ustawy – Prawo energetyczne, w ilości nie większej niż zapotrzebowanie odbiorców końcowych tego przedsiębiorstwa przyłączonych do tej sieci. Przedsiębiorstwo energetyczne zajmujące się przesyłaniem i dystrybucją ciepła na obszarze danego systemu ciepłowniczego jest obowiązane </w:t>
      </w:r>
    </w:p>
    <w:p w14:paraId="0E14A39F"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do wyrażenia zgody na przyłączenie instalacji lub na zmianę warunków przyłączenia w celu przyłączenia takiej instalacji. Efektywne systemy ciepłownicze są zwolnione z tych obowiązków.</w:t>
      </w:r>
    </w:p>
    <w:p w14:paraId="48D5C907"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Zgodnie z dyrektywą EED, od dnia 1 stycznia 2025 r., a następnie co pięć lat, operatorzy wszystkich istniejących systemów ciepłowniczych i chłodniczych o całkowitej mocy wyprodukowanych ciepła i chłodu przekraczającej 5 MW, które to systemy nie spełniają kryteriów efektywnego systemu ciepłowniczego, muszą przygotować plan zapewnienia bardziej efektywnego zużycia energii pierwotnej, ograniczenia strat w dystrybucji oraz zwiększenia udziału energii ze źródeł odnawialnych w zaopatrzeniu w energie cieplną i chłodniczą. Plan ten obejmuje środki mające na celu spełnienie kryteriów umożliwiających osiągnięcie statusu efektywnego systemu ciepłowniczego. </w:t>
      </w:r>
    </w:p>
    <w:p w14:paraId="4C8DE935"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Ponadto, zgodnie z dyrektywą Parlamentu Europejskiego i Rady (UE) 2024/1275 z dnia 24 kwietnia 2024 r. w sprawie charakterystyki energetycznej budynków (Dz. Urz. UE L 2024/1275 z 08.05.2024, tzw. „dyrektywa EPBD”), państwa członkowskie zapewniają, aby całkowite roczne zużycie energii pierwotnej przez nowy lub poddany renowacji budynek </w:t>
      </w:r>
      <w:proofErr w:type="spellStart"/>
      <w:r w:rsidRPr="005D30A0">
        <w:rPr>
          <w:rFonts w:ascii="Arial" w:eastAsia="Calibri" w:hAnsi="Arial" w:cs="Arial"/>
        </w:rPr>
        <w:t>bezemisyjny</w:t>
      </w:r>
      <w:proofErr w:type="spellEnd"/>
      <w:r w:rsidRPr="005D30A0">
        <w:rPr>
          <w:rFonts w:ascii="Arial" w:eastAsia="Calibri" w:hAnsi="Arial" w:cs="Arial"/>
        </w:rPr>
        <w:t xml:space="preserve"> było pokrywane za pomocą m.in. energii z efektywnego systemu ciepłowniczego i chłodniczego zgodnie z art. 26 ust. 1 dyrektywy (UE) 2023/1791, co pozwala spełnić warunki wynikające z przepisów dot. charakterystyki energetycznej budynków.  </w:t>
      </w:r>
    </w:p>
    <w:p w14:paraId="7B388405"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W celu uniknięcia wątpliwości co do kwalifikacji danej modernizacji jako znacznej, w projekcie dookreślono warunki określające maksymalną wartość kosztów porównywalnej jednostki </w:t>
      </w:r>
      <w:r w:rsidRPr="005D30A0">
        <w:rPr>
          <w:rFonts w:ascii="Arial" w:eastAsia="Calibri" w:hAnsi="Arial" w:cs="Arial"/>
        </w:rPr>
        <w:lastRenderedPageBreak/>
        <w:t xml:space="preserve">wytwórczej, jak i termin zakończenia modernizacji. Projekt ustawy wprowadza też konkretne wymagania dla jednostek wytwórczych. W projekcie znalazło się również doprecyzowanie pojęcia energii elektrycznej wytwarzanej w wysokosprawnej kogeneracji oraz dookreślenie zasad pozwalających na uniknięcie wątpliwości co do kwalifikacji danej modernizacji jako znacznej, oraz określenie maksymalnej wysokości porównywalnej nowej jednostki wytwórczej i terminu zakończenia modernizacji. Wprowadza się również konkretne wymagania, które powinny spełniać jednostki wytwórcze oraz sposób obliczenia jednostkowego wskaźnika emisji dwutlenku węgla na 1 MWh ciepła lub chłodu, energii elektrycznej oraz energii mechanicznej wytworzonej w procesie kogeneracji. </w:t>
      </w:r>
    </w:p>
    <w:p w14:paraId="422DB7FD"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Dyrektywa EED wprowadza obowiązek sporządzenia analizy kosztów i korzyści pod względem zastosowania kogeneracji lub wykorzystania ciepła odpadowego lub z innych zastosowań umożliwiających odzyskiwanie ciepła odpadowego dla: </w:t>
      </w:r>
    </w:p>
    <w:p w14:paraId="6EF84EA2" w14:textId="77777777" w:rsidR="005D30A0" w:rsidRPr="005D30A0" w:rsidRDefault="005D30A0" w:rsidP="005D30A0">
      <w:pPr>
        <w:pStyle w:val="Akapitzlist"/>
        <w:numPr>
          <w:ilvl w:val="0"/>
          <w:numId w:val="8"/>
        </w:numPr>
        <w:spacing w:after="0" w:line="300" w:lineRule="auto"/>
        <w:ind w:left="567" w:hanging="283"/>
        <w:jc w:val="both"/>
        <w:rPr>
          <w:rFonts w:ascii="Arial" w:eastAsia="Calibri" w:hAnsi="Arial" w:cs="Arial"/>
        </w:rPr>
      </w:pPr>
      <w:r w:rsidRPr="005D30A0">
        <w:rPr>
          <w:rFonts w:ascii="Arial" w:eastAsia="Calibri" w:hAnsi="Arial" w:cs="Arial"/>
        </w:rPr>
        <w:t xml:space="preserve">instalacji cieplnej, której średnia roczna całkowita moc nominalna cieplna przekracza 10 MW; </w:t>
      </w:r>
    </w:p>
    <w:p w14:paraId="46ED8201" w14:textId="77777777" w:rsidR="005D30A0" w:rsidRPr="005D30A0" w:rsidRDefault="005D30A0" w:rsidP="005D30A0">
      <w:pPr>
        <w:pStyle w:val="Akapitzlist"/>
        <w:numPr>
          <w:ilvl w:val="0"/>
          <w:numId w:val="8"/>
        </w:numPr>
        <w:spacing w:after="0" w:line="300" w:lineRule="auto"/>
        <w:ind w:left="567" w:hanging="283"/>
        <w:jc w:val="both"/>
        <w:rPr>
          <w:rFonts w:ascii="Arial" w:eastAsia="Calibri" w:hAnsi="Arial" w:cs="Arial"/>
        </w:rPr>
      </w:pPr>
      <w:r w:rsidRPr="005D30A0">
        <w:rPr>
          <w:rFonts w:ascii="Arial" w:eastAsia="Calibri" w:hAnsi="Arial" w:cs="Arial"/>
        </w:rPr>
        <w:t>instalacji przemysłowej, której średnia roczna całkowita moc nominalna cieplna przekracza 8 MW;</w:t>
      </w:r>
    </w:p>
    <w:p w14:paraId="20A14299" w14:textId="77777777" w:rsidR="005D30A0" w:rsidRPr="005D30A0" w:rsidRDefault="005D30A0" w:rsidP="005D30A0">
      <w:pPr>
        <w:pStyle w:val="Akapitzlist"/>
        <w:numPr>
          <w:ilvl w:val="0"/>
          <w:numId w:val="8"/>
        </w:numPr>
        <w:spacing w:after="0" w:line="300" w:lineRule="auto"/>
        <w:ind w:left="567" w:hanging="283"/>
        <w:jc w:val="both"/>
        <w:rPr>
          <w:rFonts w:ascii="Arial" w:eastAsia="Calibri" w:hAnsi="Arial" w:cs="Arial"/>
        </w:rPr>
      </w:pPr>
      <w:r w:rsidRPr="005D30A0">
        <w:rPr>
          <w:rFonts w:ascii="Arial" w:eastAsia="Calibri" w:hAnsi="Arial" w:cs="Arial"/>
        </w:rPr>
        <w:t xml:space="preserve">obiektu infrastruktury usługowej, takiego jak oczyszczalnia ścieków lub instalacja LNG, w celu oceny wykorzystania ciepła odpadowego na terenie tego obiektu i poza nim, którego średnia roczna całkowita moc nominalna cieplna przekracza 7 MW; </w:t>
      </w:r>
    </w:p>
    <w:p w14:paraId="6584A013" w14:textId="77777777" w:rsidR="005D30A0" w:rsidRPr="005D30A0" w:rsidRDefault="005D30A0" w:rsidP="005D30A0">
      <w:pPr>
        <w:pStyle w:val="Akapitzlist"/>
        <w:numPr>
          <w:ilvl w:val="0"/>
          <w:numId w:val="8"/>
        </w:numPr>
        <w:spacing w:after="0" w:line="300" w:lineRule="auto"/>
        <w:ind w:left="567" w:hanging="283"/>
        <w:jc w:val="both"/>
        <w:rPr>
          <w:rFonts w:ascii="Arial" w:eastAsia="Calibri" w:hAnsi="Arial" w:cs="Arial"/>
        </w:rPr>
      </w:pPr>
      <w:r w:rsidRPr="005D30A0">
        <w:rPr>
          <w:rFonts w:ascii="Arial" w:eastAsia="Calibri" w:hAnsi="Arial" w:cs="Arial"/>
        </w:rPr>
        <w:t xml:space="preserve">ośrodków przetwarzania danych, których całkowita znamionowa moc wejściowa przekracza 1 MW, chyba że są w stanie wykazać, że nie jest to technicznie lub ekonomicznie wykonalne. </w:t>
      </w:r>
    </w:p>
    <w:p w14:paraId="2BFDF775"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Zmodyfikowano również obowiązek nałożony na podmioty planujące budowę lub znaczną modernizację jednostki wytwórczej o mocy nominalnej cieplnej przekraczającej 10 MW, który wymaga sporządzenia analizy kosztów i korzyści budowy lub znacznej modernizacji tej jednostki wytwórczej na jednostkę kogeneracji. Zgodnie z obecnie obowiązującymi przepisami przedsiębiorstwa energetyczne zajmujące się wytwarzaniem energii elektrycznej lub ciepła, przesyłaniem i dystrybucją ciepła oraz inni przedsiębiorcy, planujące budowę, przebudowę lub znaczną modernizację po dniu 5 czerwca 2014 r. jednostki wytwórczej o mocy nominalnej cieplnej powyżej 20 MW, sieci ciepłowniczej lub sieci chłodniczej, sporządzają analizę kosztów i korzyści budowy, przebudowy lub znacznej modernizacji tej jednostki lub sieci ciepłowniczej, lub sieci chłodniczej, mającą na celu określenie najbardziej efektywnych pod względem zasobów oraz opłacalnych rozwiązań umożliwiających spełnienie wymogów w zakresie ogrzewania i chłodzenia. Należy jednak zauważyć, że art. 10a ustawy – Prawo energetyczne obejmuje obecnie wyłącznie rozwiązania sektorowe, gdyż analiza w zakresie obiektów przemysłowych odnosi się, zgodnie z art. 10b ust. 1 pkt 3, do budowy lub przebudowy lub znacznej modernizacji elektrowni lub elektrociepłowni przemysłowej, o mocy nominalnej cieplnej przekraczającej 20 MW lub wytwarzającej ciepło odpadowe z instalacji przemysłowej. Zgodnie z treścią zmienionej dyrektywy EED, operatorzy systemów o całkowitej mocy wyprodukowanych ciepła i chłodu przekraczającej 5 MW, które nie będą spełniały kryteriów efektywnego systemu ciepłowniczego, będą zmuszeni wdrożyć plan zapewnienia efektywnego zużycia energii pierwotnej, ograniczenia strat w dystrybucji oraz zwiększenia udziału energii ze źródeł odnawialnych w zaopatrzeniu w energię cieplną i chłodniczą. </w:t>
      </w:r>
    </w:p>
    <w:p w14:paraId="490B1553"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lastRenderedPageBreak/>
        <w:t xml:space="preserve">Poszczególne obiekty, takie jak instalacje przemysłowe, obiekty infrastruktury usługowej, czy ośrodki przetwarzania danych, będą musiały przeprowadzić analizę kosztów i korzyści w zakresie wdrożenia odzysku ciepła odpadowego, czy źródła kogeneracyjnego. W projekcie ustawy zaproponowano więc rozszerzenie katalogu obiektów, dla których przedsiębiorstwa energetyczne zajmujące się wytwarzaniem energii elektrycznej lub ciepła, przesyłaniem i dystrybucją ciepła oraz inni przedsiębiorcy, planujący budowę lub znaczną modernizację, są zobowiązane do sporządzania obowiązkowej analizy o: </w:t>
      </w:r>
    </w:p>
    <w:p w14:paraId="493DF87A" w14:textId="77777777" w:rsidR="005D30A0" w:rsidRPr="005D30A0" w:rsidRDefault="005D30A0" w:rsidP="005D30A0">
      <w:pPr>
        <w:pStyle w:val="Akapitzlist"/>
        <w:numPr>
          <w:ilvl w:val="0"/>
          <w:numId w:val="9"/>
        </w:numPr>
        <w:spacing w:after="0" w:line="300" w:lineRule="auto"/>
        <w:ind w:left="567" w:hanging="283"/>
        <w:jc w:val="both"/>
        <w:rPr>
          <w:rFonts w:ascii="Arial" w:eastAsia="Calibri" w:hAnsi="Arial" w:cs="Arial"/>
        </w:rPr>
      </w:pPr>
      <w:r w:rsidRPr="005D30A0">
        <w:rPr>
          <w:rFonts w:ascii="Arial" w:eastAsia="Calibri" w:hAnsi="Arial" w:cs="Arial"/>
        </w:rPr>
        <w:t xml:space="preserve">instalacje cieplne, których średnia roczna całkowita moc nominalna cieplna przekracza 10 MW; </w:t>
      </w:r>
    </w:p>
    <w:p w14:paraId="69724CAA" w14:textId="77777777" w:rsidR="005D30A0" w:rsidRPr="005D30A0" w:rsidRDefault="005D30A0" w:rsidP="005D30A0">
      <w:pPr>
        <w:pStyle w:val="Akapitzlist"/>
        <w:numPr>
          <w:ilvl w:val="0"/>
          <w:numId w:val="9"/>
        </w:numPr>
        <w:spacing w:after="0" w:line="300" w:lineRule="auto"/>
        <w:ind w:left="567" w:hanging="283"/>
        <w:jc w:val="both"/>
        <w:rPr>
          <w:rFonts w:ascii="Arial" w:eastAsia="Calibri" w:hAnsi="Arial" w:cs="Arial"/>
        </w:rPr>
      </w:pPr>
      <w:r w:rsidRPr="005D30A0">
        <w:rPr>
          <w:rFonts w:ascii="Arial" w:eastAsia="Calibri" w:hAnsi="Arial" w:cs="Arial"/>
        </w:rPr>
        <w:t xml:space="preserve">instalacje przemysłowe, których średnia roczna całkowita moc nominalna cieplna przekracza 8 MW; </w:t>
      </w:r>
    </w:p>
    <w:p w14:paraId="60F4089F" w14:textId="77777777" w:rsidR="005D30A0" w:rsidRPr="005D30A0" w:rsidRDefault="005D30A0" w:rsidP="005D30A0">
      <w:pPr>
        <w:pStyle w:val="Akapitzlist"/>
        <w:numPr>
          <w:ilvl w:val="0"/>
          <w:numId w:val="9"/>
        </w:numPr>
        <w:spacing w:after="0" w:line="300" w:lineRule="auto"/>
        <w:ind w:left="567" w:hanging="283"/>
        <w:jc w:val="both"/>
        <w:rPr>
          <w:rFonts w:ascii="Arial" w:eastAsia="Calibri" w:hAnsi="Arial" w:cs="Arial"/>
        </w:rPr>
      </w:pPr>
      <w:r w:rsidRPr="005D30A0">
        <w:rPr>
          <w:rFonts w:ascii="Arial" w:eastAsia="Calibri" w:hAnsi="Arial" w:cs="Arial"/>
        </w:rPr>
        <w:t xml:space="preserve">obiekty infrastruktury usługowej, takie jak oczyszczalnia ścieków lub instalacja LNG, w celu oceny wykorzystania ciepła odpadowego na terenie tego obiektu i poza nim, których średnia roczna całkowita moc nominalna cieplna przekracza 7 MW; </w:t>
      </w:r>
    </w:p>
    <w:p w14:paraId="0CFBA710" w14:textId="77777777" w:rsidR="005D30A0" w:rsidRPr="005D30A0" w:rsidRDefault="005D30A0" w:rsidP="005D30A0">
      <w:pPr>
        <w:pStyle w:val="Akapitzlist"/>
        <w:numPr>
          <w:ilvl w:val="0"/>
          <w:numId w:val="9"/>
        </w:numPr>
        <w:spacing w:after="0" w:line="300" w:lineRule="auto"/>
        <w:ind w:left="567" w:hanging="283"/>
        <w:jc w:val="both"/>
        <w:rPr>
          <w:rFonts w:ascii="Arial" w:eastAsia="Calibri" w:hAnsi="Arial" w:cs="Arial"/>
        </w:rPr>
      </w:pPr>
      <w:r w:rsidRPr="005D30A0">
        <w:rPr>
          <w:rFonts w:ascii="Arial" w:eastAsia="Calibri" w:hAnsi="Arial" w:cs="Arial"/>
        </w:rPr>
        <w:t xml:space="preserve">ośrodki przetwarzania danych, o których mowa w rozporządzeniu Parlamentu Europejskiego i Rady (WE) nr 1099/2008 z dnia 22 października 2008 r. w sprawie statystyki energii (Dz. Urz. UE L 304 z 14.11.2008, str. 1, z </w:t>
      </w:r>
      <w:proofErr w:type="spellStart"/>
      <w:r w:rsidRPr="005D30A0">
        <w:rPr>
          <w:rFonts w:ascii="Arial" w:eastAsia="Calibri" w:hAnsi="Arial" w:cs="Arial"/>
        </w:rPr>
        <w:t>późn</w:t>
      </w:r>
      <w:proofErr w:type="spellEnd"/>
      <w:r w:rsidRPr="005D30A0">
        <w:rPr>
          <w:rFonts w:ascii="Arial" w:eastAsia="Calibri" w:hAnsi="Arial" w:cs="Arial"/>
        </w:rPr>
        <w:t xml:space="preserve">. zm.), których całkowita moc nominalna cieplna przekracza 1 MW. </w:t>
      </w:r>
    </w:p>
    <w:p w14:paraId="2D44C87C"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Zaproponowane przepisy nie wykraczają poza treść implementowanych przepisów prawa europejskiego. </w:t>
      </w:r>
    </w:p>
    <w:p w14:paraId="42CC1550"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Ad. 4 i 5) Projekt wprowadza zmianę w zakresie realizacji obowiązku sporządzenia kompleksowej oceny w zakresie ogrzewania i chłodzenia, którą wykazuje się w zintegrowanym krajowym planie w dziedzinie energii i klimatu („</w:t>
      </w:r>
      <w:proofErr w:type="spellStart"/>
      <w:r w:rsidRPr="005D30A0">
        <w:rPr>
          <w:rFonts w:ascii="Arial" w:eastAsia="Calibri" w:hAnsi="Arial" w:cs="Arial"/>
        </w:rPr>
        <w:t>KPEiK</w:t>
      </w:r>
      <w:proofErr w:type="spellEnd"/>
      <w:r w:rsidRPr="005D30A0">
        <w:rPr>
          <w:rFonts w:ascii="Arial" w:eastAsia="Calibri" w:hAnsi="Arial" w:cs="Arial"/>
        </w:rPr>
        <w:t xml:space="preserve">”) oraz jego aktualizacji. Projektowany przepis nie tylko przewiduje, że wspomniana kompleksowa ocena będzie stanowić integralną część </w:t>
      </w:r>
      <w:proofErr w:type="spellStart"/>
      <w:r w:rsidRPr="005D30A0">
        <w:rPr>
          <w:rFonts w:ascii="Arial" w:eastAsia="Calibri" w:hAnsi="Arial" w:cs="Arial"/>
        </w:rPr>
        <w:t>KPEiK</w:t>
      </w:r>
      <w:proofErr w:type="spellEnd"/>
      <w:r w:rsidRPr="005D30A0">
        <w:rPr>
          <w:rFonts w:ascii="Arial" w:eastAsia="Calibri" w:hAnsi="Arial" w:cs="Arial"/>
        </w:rPr>
        <w:t xml:space="preserve">, lecz także nakłada na ministra właściwego do spraw energii obowiązek przeprowadzenia analizy potencjału wykorzystania energii ze źródeł odnawialnych, ciepła odpadowego i chłodu odpadowego w sektorze ogrzewania i chłodzenia i ocenę potencjału wytwarzania energii elektrycznej w wysokosprawnej kogeneracji oraz efektywnych systemów ciepłowniczych lub chłodniczych na terytorium Rzeczypospolitej Polskiej. W celu możliwości przeprowadzenia kompleksowej oceny potrzebne są informacje, którymi dysponują przedsiębiorstwa energetyczne. </w:t>
      </w:r>
    </w:p>
    <w:p w14:paraId="2A5A76DB"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Zaproponowane przepisy nie wykraczają poza treść implementowanych przepisów prawa europejskiego. </w:t>
      </w:r>
    </w:p>
    <w:p w14:paraId="6B8E6C66"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Ad. 6) Zgodnie z regulacją zawartą w dyrektywie EED, obowiązek przyjęcia polityki zapewniającej odpowiednie uwzględnienie na szczeblu lokalnym i regionalnym potencjału stosowania efektywnego ogrzewania i chłodzenia, zastąpiony został koniecznością przygotowania lokalnych planów w zakresie ogrzewania i chłodzenia co najmniej w gminach, w których całkowita liczba ludności przekracza 45 000. Władze lokalne i regionalne powinny korzystać ze wszelkiego możliwego wsparcia ze strony państwa we wdrażaniu na poziomie regionalnym i lokalnym w wykorzystaniu potencjału energooszczędnego ogrzewania i chłodzenia opartego na odnawialnych źródłach energii, a podstawą wprowadzanych założeń powinien być plan uchwalany przez radę gminy. Plany mogą być realizowane wspólnie przez grupę kilku sąsiadujących ze sobą władz lokalnych, pod warunkiem, że kontekst geograficzny i administracyjny oraz infrastruktura ciepłownicza i chłodnicza są odpowiednie. W projekcie </w:t>
      </w:r>
      <w:r w:rsidRPr="005D30A0">
        <w:rPr>
          <w:rFonts w:ascii="Arial" w:eastAsia="Calibri" w:hAnsi="Arial" w:cs="Arial"/>
        </w:rPr>
        <w:lastRenderedPageBreak/>
        <w:t>ustawy zaproponowano zmianę określenia omawianego dokumentu z „projektu założeń” na „plan”. W projekcie ustawy proponuje się również zmianę obowiązujących przepisów ustawy – Prawo energetyczne w zakresie planów zaopatrzenia w energię elektryczną polegającą na wprowadzeniu efektywnych</w:t>
      </w:r>
      <w:r w:rsidRPr="005D30A0">
        <w:rPr>
          <w:rFonts w:ascii="Arial" w:hAnsi="Arial" w:cs="Arial"/>
        </w:rPr>
        <w:t xml:space="preserve"> </w:t>
      </w:r>
      <w:r w:rsidRPr="005D30A0">
        <w:rPr>
          <w:rFonts w:ascii="Arial" w:eastAsia="Calibri" w:hAnsi="Arial" w:cs="Arial"/>
        </w:rPr>
        <w:t xml:space="preserve">systemów współpracy i wymiany informacji pomiędzy jednostkami samorządu terytorialnego a przedsiębiorstwami energetycznymi, w tym operatorami systemów energetycznych. </w:t>
      </w:r>
    </w:p>
    <w:p w14:paraId="51E171C6" w14:textId="77777777" w:rsidR="005D30A0" w:rsidRPr="005D30A0" w:rsidRDefault="005D30A0" w:rsidP="005D30A0">
      <w:pPr>
        <w:spacing w:after="0" w:line="300" w:lineRule="auto"/>
        <w:jc w:val="both"/>
        <w:rPr>
          <w:rFonts w:ascii="Arial" w:eastAsia="Calibri" w:hAnsi="Arial" w:cs="Arial"/>
        </w:rPr>
      </w:pPr>
      <w:r w:rsidRPr="005D30A0">
        <w:rPr>
          <w:rFonts w:ascii="Arial" w:eastAsia="Calibri" w:hAnsi="Arial" w:cs="Arial"/>
        </w:rPr>
        <w:t xml:space="preserve">Zaproponowane przepisy nie wykraczają poza treść implementowanych przepisów prawa europejskiego. </w:t>
      </w:r>
    </w:p>
    <w:p w14:paraId="2FE95F81" w14:textId="50D6A859" w:rsidR="005D30A0" w:rsidRPr="005D30A0" w:rsidRDefault="005D30A0" w:rsidP="005D30A0">
      <w:pPr>
        <w:spacing w:after="0" w:line="300" w:lineRule="auto"/>
        <w:jc w:val="both"/>
        <w:rPr>
          <w:rFonts w:ascii="Arial" w:hAnsi="Arial" w:cs="Arial"/>
        </w:rPr>
      </w:pPr>
      <w:r w:rsidRPr="005D30A0">
        <w:rPr>
          <w:rFonts w:ascii="Arial" w:eastAsia="Calibri" w:hAnsi="Arial" w:cs="Arial"/>
        </w:rPr>
        <w:t>Osiągnięcie celu proponowanej regulacji nie jest możliwe za pomocą innych środków niż interwencja legislacyjna.</w:t>
      </w:r>
    </w:p>
    <w:p w14:paraId="05590B98" w14:textId="77777777" w:rsidR="005D30A0" w:rsidRDefault="005D30A0" w:rsidP="00AD7F1E">
      <w:pPr>
        <w:spacing w:after="0" w:line="300" w:lineRule="auto"/>
        <w:jc w:val="both"/>
        <w:rPr>
          <w:rFonts w:ascii="Arial" w:hAnsi="Arial" w:cs="Arial"/>
        </w:rPr>
      </w:pPr>
    </w:p>
    <w:p w14:paraId="4E7B2B8E" w14:textId="591DCFF8" w:rsidR="005D30A0" w:rsidRPr="005D30A0" w:rsidRDefault="005D30A0" w:rsidP="005D30A0">
      <w:pPr>
        <w:spacing w:after="0" w:line="300" w:lineRule="auto"/>
        <w:jc w:val="both"/>
        <w:rPr>
          <w:rFonts w:ascii="Arial" w:hAnsi="Arial" w:cs="Arial"/>
        </w:rPr>
      </w:pPr>
      <w:r w:rsidRPr="005D30A0">
        <w:rPr>
          <w:rFonts w:ascii="Arial" w:hAnsi="Arial" w:cs="Arial"/>
        </w:rPr>
        <w:t>Przedmiotowy projekt aktu prawnego wraz z Uzasadnieniem, Oceną Skutków Regulacji oraz tabelami zgodności (szt. 2) dostępny jest na stronach Rządowego Centrum Legislacji pod adresem:</w:t>
      </w:r>
      <w:r w:rsidR="002164C6">
        <w:rPr>
          <w:rFonts w:ascii="Arial" w:hAnsi="Arial" w:cs="Arial"/>
        </w:rPr>
        <w:t>-</w:t>
      </w:r>
    </w:p>
    <w:p w14:paraId="1ABAE486" w14:textId="3CA22F60" w:rsidR="005D30A0" w:rsidRDefault="005D30A0" w:rsidP="005D30A0">
      <w:pPr>
        <w:spacing w:after="0" w:line="300" w:lineRule="auto"/>
        <w:jc w:val="both"/>
        <w:rPr>
          <w:rFonts w:ascii="Arial" w:hAnsi="Arial" w:cs="Arial"/>
        </w:rPr>
      </w:pPr>
      <w:hyperlink r:id="rId7" w:history="1">
        <w:r w:rsidRPr="00066214">
          <w:rPr>
            <w:rStyle w:val="Hipercze"/>
            <w:rFonts w:ascii="Arial" w:hAnsi="Arial" w:cs="Arial"/>
          </w:rPr>
          <w:t>https://legislacja.rcl.gov.pl/projekt/12</w:t>
        </w:r>
        <w:r w:rsidRPr="00066214">
          <w:rPr>
            <w:rStyle w:val="Hipercze"/>
            <w:rFonts w:ascii="Arial" w:hAnsi="Arial" w:cs="Arial"/>
          </w:rPr>
          <w:t>4</w:t>
        </w:r>
        <w:r w:rsidRPr="00066214">
          <w:rPr>
            <w:rStyle w:val="Hipercze"/>
            <w:rFonts w:ascii="Arial" w:hAnsi="Arial" w:cs="Arial"/>
          </w:rPr>
          <w:t>10401/katalog/13204866#13204866</w:t>
        </w:r>
      </w:hyperlink>
      <w:r>
        <w:rPr>
          <w:rFonts w:ascii="Arial" w:hAnsi="Arial" w:cs="Arial"/>
        </w:rPr>
        <w:t xml:space="preserve"> </w:t>
      </w:r>
    </w:p>
    <w:p w14:paraId="784FE642" w14:textId="77777777" w:rsidR="005D30A0" w:rsidRDefault="005D30A0" w:rsidP="00AD7F1E">
      <w:pPr>
        <w:spacing w:after="0" w:line="300" w:lineRule="auto"/>
        <w:jc w:val="both"/>
        <w:rPr>
          <w:rFonts w:ascii="Arial" w:hAnsi="Arial" w:cs="Arial"/>
        </w:rPr>
      </w:pPr>
    </w:p>
    <w:p w14:paraId="0ADB9B2B" w14:textId="54A7085E" w:rsidR="005D30A0" w:rsidRDefault="002164C6" w:rsidP="00AD7F1E">
      <w:pPr>
        <w:spacing w:after="0" w:line="300" w:lineRule="auto"/>
        <w:jc w:val="both"/>
        <w:rPr>
          <w:rFonts w:ascii="Arial" w:hAnsi="Arial" w:cs="Arial"/>
        </w:rPr>
      </w:pPr>
      <w:r w:rsidRPr="002164C6">
        <w:rPr>
          <w:rFonts w:ascii="Arial" w:hAnsi="Arial" w:cs="Arial"/>
        </w:rPr>
        <w:t>Projekt jest obecnie jednocześnie na etapie uzgodnień, konsultacji publicznych i opiniowania.</w:t>
      </w:r>
    </w:p>
    <w:p w14:paraId="150E3861" w14:textId="77777777" w:rsidR="005D30A0" w:rsidRDefault="005D30A0" w:rsidP="00AD7F1E">
      <w:pPr>
        <w:spacing w:after="0" w:line="300" w:lineRule="auto"/>
        <w:jc w:val="both"/>
        <w:rPr>
          <w:rFonts w:ascii="Arial" w:hAnsi="Arial" w:cs="Arial"/>
        </w:rPr>
      </w:pPr>
    </w:p>
    <w:p w14:paraId="798E8765" w14:textId="77777777" w:rsidR="00AD7F1E" w:rsidRDefault="00AD7F1E" w:rsidP="00AD7F1E">
      <w:pPr>
        <w:spacing w:after="0" w:line="300" w:lineRule="auto"/>
        <w:jc w:val="both"/>
        <w:rPr>
          <w:rFonts w:ascii="Arial" w:hAnsi="Arial" w:cs="Arial"/>
        </w:rPr>
      </w:pPr>
      <w:r>
        <w:rPr>
          <w:rFonts w:ascii="Arial" w:hAnsi="Arial" w:cs="Arial"/>
        </w:rPr>
        <w:t>Projekty rozporządzeń:</w:t>
      </w:r>
    </w:p>
    <w:p w14:paraId="6A48DDC4" w14:textId="77777777" w:rsidR="00A66597" w:rsidRDefault="00A66597" w:rsidP="00AD7F1E">
      <w:pPr>
        <w:spacing w:after="0" w:line="300" w:lineRule="auto"/>
        <w:jc w:val="both"/>
        <w:rPr>
          <w:rFonts w:ascii="Arial" w:hAnsi="Arial" w:cs="Arial"/>
        </w:rPr>
      </w:pPr>
    </w:p>
    <w:p w14:paraId="6BED24E6" w14:textId="5DF46EAB" w:rsidR="00AD7F1E" w:rsidRPr="002164C6" w:rsidRDefault="002164C6" w:rsidP="002164C6">
      <w:pPr>
        <w:pStyle w:val="Akapitzlist"/>
        <w:spacing w:after="0" w:line="300" w:lineRule="auto"/>
        <w:jc w:val="both"/>
        <w:rPr>
          <w:rFonts w:ascii="Arial" w:hAnsi="Arial" w:cs="Arial"/>
          <w:b/>
          <w:bCs/>
          <w:u w:val="single"/>
        </w:rPr>
      </w:pPr>
      <w:r w:rsidRPr="002164C6">
        <w:rPr>
          <w:rFonts w:ascii="Arial" w:hAnsi="Arial" w:cs="Arial"/>
          <w:b/>
          <w:bCs/>
          <w:u w:val="single"/>
        </w:rPr>
        <w:t>P</w:t>
      </w:r>
      <w:r w:rsidRPr="002164C6">
        <w:rPr>
          <w:rFonts w:ascii="Arial" w:hAnsi="Arial" w:cs="Arial"/>
          <w:b/>
          <w:bCs/>
          <w:u w:val="single"/>
        </w:rPr>
        <w:t>rojekt rozporządzenia Ministra Finansów i Gospodarki w sprawie wzorów wniosków o udostępnienie materiałów państwowego zasobu geodezyjnego i kartograficznego, licencji i Dokumentu Obliczenia Opłaty, a także sposobu wydawania licencji (56).</w:t>
      </w:r>
    </w:p>
    <w:p w14:paraId="03AD8B76" w14:textId="77777777" w:rsidR="00AD7F1E" w:rsidRPr="002164C6" w:rsidRDefault="00AD7F1E" w:rsidP="002164C6">
      <w:pPr>
        <w:spacing w:after="0" w:line="300" w:lineRule="auto"/>
        <w:jc w:val="both"/>
        <w:rPr>
          <w:rFonts w:ascii="Arial" w:hAnsi="Arial" w:cs="Arial"/>
        </w:rPr>
      </w:pPr>
    </w:p>
    <w:p w14:paraId="0B8D06C4" w14:textId="77777777" w:rsidR="002164C6" w:rsidRPr="002164C6" w:rsidRDefault="002164C6" w:rsidP="002164C6">
      <w:pPr>
        <w:spacing w:after="0" w:line="300" w:lineRule="auto"/>
        <w:jc w:val="both"/>
        <w:rPr>
          <w:rFonts w:ascii="Arial" w:eastAsia="Calibri" w:hAnsi="Arial" w:cs="Arial"/>
        </w:rPr>
      </w:pPr>
      <w:r w:rsidRPr="002164C6">
        <w:rPr>
          <w:rFonts w:ascii="Arial" w:eastAsia="Calibri" w:hAnsi="Arial" w:cs="Arial"/>
        </w:rPr>
        <w:t xml:space="preserve">Projekt rozporządzenia Ministra Finansów i Gospodarki w sprawie wzorów wniosków o udostępnienie materiałów państwowego zasobu geodezyjnego i kartograficznego, licencji i Dokumentu Obliczenia Opłaty, a także sposobu wydawania licencji wydawany jest na podstawie art. 40g ustawy z dnia 17 maja 1989 r. – Prawo geodezyjne i kartograficzne (Dz. U. z 2024 r. poz. 1151 i 1824 oraz z 2025 r. poz. 1019, 1542 i 1792). </w:t>
      </w:r>
    </w:p>
    <w:p w14:paraId="3C495523" w14:textId="77777777" w:rsidR="002164C6" w:rsidRPr="002164C6" w:rsidRDefault="002164C6" w:rsidP="002164C6">
      <w:pPr>
        <w:spacing w:after="0" w:line="300" w:lineRule="auto"/>
        <w:jc w:val="both"/>
        <w:rPr>
          <w:rFonts w:ascii="Arial" w:eastAsia="Calibri" w:hAnsi="Arial" w:cs="Arial"/>
        </w:rPr>
      </w:pPr>
      <w:r w:rsidRPr="002164C6">
        <w:rPr>
          <w:rFonts w:ascii="Arial" w:eastAsia="Calibri" w:hAnsi="Arial" w:cs="Arial"/>
        </w:rPr>
        <w:t xml:space="preserve">Potrzeba wydania rozporządzenia wynika z art. 3 ustawy z dnia 26 września 2025 r.  o zmianie ustawy – Prawo geodezyjne i kartograficzne (Dz. U. z 2025 r. poz. 1542), dalej jako „ustawa zmieniająca”, zgodnie z którym dotychczasowe przepisy wykonawcze wydane na podstawie art. 40g ustawy - Prawo geodezyjne i kartograficzne zachowują moc do dnia wejścia w życie nowych przepisów wykonawczych, jednak nie dłużej niż do 14 sierpnia 2026 r. W związku z powyższym konieczne jest wydanie w ww. terminie nowego rozporządzenia </w:t>
      </w:r>
    </w:p>
    <w:p w14:paraId="6453E193" w14:textId="77777777" w:rsidR="002164C6" w:rsidRPr="002164C6" w:rsidRDefault="002164C6" w:rsidP="002164C6">
      <w:pPr>
        <w:spacing w:after="0" w:line="300" w:lineRule="auto"/>
        <w:jc w:val="both"/>
        <w:rPr>
          <w:rFonts w:ascii="Arial" w:eastAsia="Calibri" w:hAnsi="Arial" w:cs="Arial"/>
        </w:rPr>
      </w:pPr>
      <w:r w:rsidRPr="002164C6">
        <w:rPr>
          <w:rFonts w:ascii="Arial" w:eastAsia="Calibri" w:hAnsi="Arial" w:cs="Arial"/>
        </w:rPr>
        <w:t xml:space="preserve">Ustawa zmieniająca nie nadaje nowego brzmienia przepisowi art. 40g ustawy - Prawo geodezyjne i kartograficzne (delegacja ustawowa nie uległa zmianie), jednak przepisem przejściowym ustawy zmieniającej wprowadzono termin obowiązywania aktualnych przepisów wykonawczych odnoszący się do tej delegacji. W związku z powyższym w okresie czasowego zachowania w mocy rozporządzenia Ministra Rozwoju z dnia 28 lipca 2020 r. w sprawie wzorów wniosków o udostępnienie materiałów państwowego zasobu geodezyjnego i kartograficznego, licencji i Dokumentu Obliczenia Opłaty, a także sposobu wydawania licencji (Dz.U. poz. 1322, z </w:t>
      </w:r>
      <w:proofErr w:type="spellStart"/>
      <w:r w:rsidRPr="002164C6">
        <w:rPr>
          <w:rFonts w:ascii="Arial" w:eastAsia="Calibri" w:hAnsi="Arial" w:cs="Arial"/>
        </w:rPr>
        <w:t>późn</w:t>
      </w:r>
      <w:proofErr w:type="spellEnd"/>
      <w:r w:rsidRPr="002164C6">
        <w:rPr>
          <w:rFonts w:ascii="Arial" w:eastAsia="Calibri" w:hAnsi="Arial" w:cs="Arial"/>
        </w:rPr>
        <w:t xml:space="preserve">. zm.), zachodzi konieczność wydania nowego rozporządzenia.  </w:t>
      </w:r>
    </w:p>
    <w:p w14:paraId="0101B7A5" w14:textId="77777777" w:rsidR="002164C6" w:rsidRPr="002164C6" w:rsidRDefault="002164C6" w:rsidP="002164C6">
      <w:pPr>
        <w:spacing w:after="0" w:line="300" w:lineRule="auto"/>
        <w:jc w:val="both"/>
        <w:rPr>
          <w:rFonts w:ascii="Arial" w:eastAsia="Calibri" w:hAnsi="Arial" w:cs="Arial"/>
        </w:rPr>
      </w:pPr>
      <w:r w:rsidRPr="002164C6">
        <w:rPr>
          <w:rFonts w:ascii="Arial" w:eastAsia="Calibri" w:hAnsi="Arial" w:cs="Arial"/>
        </w:rPr>
        <w:lastRenderedPageBreak/>
        <w:t xml:space="preserve">W projekcie rozporządzenia przewiduje się powtórzenie rozwiązań funkcjonujących w obowiązującym obecnie rozporządzeniu dostosowanych do obowiązujących przepisów prawa, a mianowicie wprowadzonego ustawą zmieniającą zwolnienia z odpłatności danych z rejestru cen nieruchomości. Projektowane rozporządzenie będzie zawierać przepisy, mające na celu dostosowanie wzorów dokumentów do obowiązujących przepisów prawa m.in. w zakresie: </w:t>
      </w:r>
    </w:p>
    <w:p w14:paraId="39EEF65B" w14:textId="77777777" w:rsidR="002164C6" w:rsidRPr="002164C6" w:rsidRDefault="002164C6" w:rsidP="002164C6">
      <w:pPr>
        <w:spacing w:after="0" w:line="300" w:lineRule="auto"/>
        <w:jc w:val="both"/>
        <w:rPr>
          <w:rFonts w:ascii="Arial" w:eastAsia="Calibri" w:hAnsi="Arial" w:cs="Arial"/>
        </w:rPr>
      </w:pPr>
      <w:r w:rsidRPr="002164C6">
        <w:rPr>
          <w:rFonts w:ascii="Arial" w:eastAsia="Calibri" w:hAnsi="Arial" w:cs="Arial"/>
        </w:rPr>
        <w:t xml:space="preserve">1) załącznik nr 3: </w:t>
      </w:r>
    </w:p>
    <w:p w14:paraId="1F6DCA7E" w14:textId="77777777" w:rsidR="002164C6" w:rsidRPr="002164C6" w:rsidRDefault="002164C6" w:rsidP="002164C6">
      <w:pPr>
        <w:pStyle w:val="Akapitzlist"/>
        <w:numPr>
          <w:ilvl w:val="0"/>
          <w:numId w:val="10"/>
        </w:numPr>
        <w:spacing w:after="0" w:line="300" w:lineRule="auto"/>
        <w:jc w:val="both"/>
        <w:rPr>
          <w:rFonts w:ascii="Arial" w:eastAsia="Calibri" w:hAnsi="Arial" w:cs="Arial"/>
        </w:rPr>
      </w:pPr>
      <w:r w:rsidRPr="002164C6">
        <w:rPr>
          <w:rFonts w:ascii="Arial" w:eastAsia="Calibri" w:hAnsi="Arial" w:cs="Arial"/>
        </w:rPr>
        <w:t xml:space="preserve">modyfikacja w formularzu P punktu nr 8a formularza dotyczącego zakresów współczynnika CL - udostępniania odpłatnego materiałów, w celu dostosowania jego dopuszczalnych wartości do przepisów ust. 4 załącznika do ustawy – Prawo geodezyjne i kartograficzne, </w:t>
      </w:r>
    </w:p>
    <w:p w14:paraId="51FE0303" w14:textId="77777777" w:rsidR="002164C6" w:rsidRPr="002164C6" w:rsidRDefault="002164C6" w:rsidP="002164C6">
      <w:pPr>
        <w:pStyle w:val="Akapitzlist"/>
        <w:numPr>
          <w:ilvl w:val="0"/>
          <w:numId w:val="10"/>
        </w:numPr>
        <w:spacing w:after="0" w:line="300" w:lineRule="auto"/>
        <w:jc w:val="both"/>
        <w:rPr>
          <w:rFonts w:ascii="Arial" w:eastAsia="Calibri" w:hAnsi="Arial" w:cs="Arial"/>
        </w:rPr>
      </w:pPr>
      <w:r w:rsidRPr="002164C6">
        <w:rPr>
          <w:rFonts w:ascii="Arial" w:eastAsia="Calibri" w:hAnsi="Arial" w:cs="Arial"/>
        </w:rPr>
        <w:t xml:space="preserve">modyfikacja w formularzu P2 punktu nr 2 i P5 (odpowiadającego formularzowi P6 uchylanego rozporządzenia) punktu nr 2 - brak obowiązku wykazywania interesu prawnego przez podmioty, o których mowa w art. 24 ust. 5 pkt 2 - 2b ustawy – Prawo geodezyjne i kartograficzne: </w:t>
      </w:r>
    </w:p>
    <w:p w14:paraId="18C66F9F" w14:textId="77777777" w:rsidR="002164C6" w:rsidRPr="002164C6" w:rsidRDefault="002164C6" w:rsidP="002164C6">
      <w:pPr>
        <w:pStyle w:val="Akapitzlist"/>
        <w:numPr>
          <w:ilvl w:val="1"/>
          <w:numId w:val="10"/>
        </w:numPr>
        <w:spacing w:after="0" w:line="300" w:lineRule="auto"/>
        <w:jc w:val="both"/>
        <w:rPr>
          <w:rFonts w:ascii="Arial" w:eastAsia="Calibri" w:hAnsi="Arial" w:cs="Arial"/>
        </w:rPr>
      </w:pPr>
      <w:r w:rsidRPr="002164C6">
        <w:rPr>
          <w:rFonts w:ascii="Arial" w:eastAsia="Calibri" w:hAnsi="Arial" w:cs="Arial"/>
        </w:rPr>
        <w:t xml:space="preserve">organy administracji publicznej albo podmioty niebędące organem administracji publicznej, realizujące, na skutek powierzenia lub zlecenia przez organ administracji publicznej, zadania publiczne związane z gruntami, budynkami lub lokalami objętymi wnioskiem, </w:t>
      </w:r>
    </w:p>
    <w:p w14:paraId="0FB4DEF6" w14:textId="77777777" w:rsidR="002164C6" w:rsidRPr="002164C6" w:rsidRDefault="002164C6" w:rsidP="002164C6">
      <w:pPr>
        <w:pStyle w:val="Akapitzlist"/>
        <w:numPr>
          <w:ilvl w:val="1"/>
          <w:numId w:val="10"/>
        </w:numPr>
        <w:spacing w:after="0" w:line="300" w:lineRule="auto"/>
        <w:jc w:val="both"/>
        <w:rPr>
          <w:rFonts w:ascii="Arial" w:eastAsia="Calibri" w:hAnsi="Arial" w:cs="Arial"/>
        </w:rPr>
      </w:pPr>
      <w:r w:rsidRPr="002164C6">
        <w:rPr>
          <w:rFonts w:ascii="Arial" w:eastAsia="Calibri" w:hAnsi="Arial" w:cs="Arial"/>
        </w:rPr>
        <w:t xml:space="preserve">operatorzy sieci, w rozumieniu ustawy z dnia 7 maja 2010 r. o wspieraniu rozwoju usług i sieci telekomunikacyjnych (Dz.U. z 2026 r. poz. 562), </w:t>
      </w:r>
    </w:p>
    <w:p w14:paraId="28DA3FB0" w14:textId="77777777" w:rsidR="002164C6" w:rsidRPr="002164C6" w:rsidRDefault="002164C6" w:rsidP="002164C6">
      <w:pPr>
        <w:pStyle w:val="Akapitzlist"/>
        <w:numPr>
          <w:ilvl w:val="1"/>
          <w:numId w:val="10"/>
        </w:numPr>
        <w:spacing w:after="0" w:line="300" w:lineRule="auto"/>
        <w:jc w:val="both"/>
        <w:rPr>
          <w:rFonts w:ascii="Arial" w:eastAsia="Calibri" w:hAnsi="Arial" w:cs="Arial"/>
        </w:rPr>
      </w:pPr>
      <w:r w:rsidRPr="002164C6">
        <w:rPr>
          <w:rFonts w:ascii="Arial" w:eastAsia="Calibri" w:hAnsi="Arial" w:cs="Arial"/>
        </w:rPr>
        <w:t xml:space="preserve">operatorzy systemu przesyłowego, systemu dystrybucyjnego oraz systemu połączonego, w rozumieniu ustawy z dnia 10 kwietnia 1997 r. - Prawo energetyczne (Dz. U. z 2026 r. poz. 43, z </w:t>
      </w:r>
      <w:proofErr w:type="spellStart"/>
      <w:r w:rsidRPr="002164C6">
        <w:rPr>
          <w:rFonts w:ascii="Arial" w:eastAsia="Calibri" w:hAnsi="Arial" w:cs="Arial"/>
        </w:rPr>
        <w:t>późn</w:t>
      </w:r>
      <w:proofErr w:type="spellEnd"/>
      <w:r w:rsidRPr="002164C6">
        <w:rPr>
          <w:rFonts w:ascii="Arial" w:eastAsia="Calibri" w:hAnsi="Arial" w:cs="Arial"/>
        </w:rPr>
        <w:t xml:space="preserve">. zm.),  </w:t>
      </w:r>
    </w:p>
    <w:p w14:paraId="57C9FEE1" w14:textId="77777777" w:rsidR="002164C6" w:rsidRPr="002164C6" w:rsidRDefault="002164C6" w:rsidP="002164C6">
      <w:pPr>
        <w:pStyle w:val="Akapitzlist"/>
        <w:numPr>
          <w:ilvl w:val="1"/>
          <w:numId w:val="10"/>
        </w:numPr>
        <w:spacing w:after="0" w:line="300" w:lineRule="auto"/>
        <w:jc w:val="both"/>
        <w:rPr>
          <w:rFonts w:ascii="Arial" w:eastAsia="Calibri" w:hAnsi="Arial" w:cs="Arial"/>
        </w:rPr>
      </w:pPr>
      <w:r w:rsidRPr="002164C6">
        <w:rPr>
          <w:rFonts w:ascii="Arial" w:eastAsia="Calibri" w:hAnsi="Arial" w:cs="Arial"/>
        </w:rPr>
        <w:t xml:space="preserve">sądy na potrzeby prowadzonych postępowań, </w:t>
      </w:r>
    </w:p>
    <w:p w14:paraId="7B43E390" w14:textId="77777777" w:rsidR="002164C6" w:rsidRPr="002164C6" w:rsidRDefault="002164C6" w:rsidP="002164C6">
      <w:pPr>
        <w:pStyle w:val="Akapitzlist"/>
        <w:numPr>
          <w:ilvl w:val="0"/>
          <w:numId w:val="10"/>
        </w:numPr>
        <w:spacing w:after="0" w:line="300" w:lineRule="auto"/>
        <w:jc w:val="both"/>
        <w:rPr>
          <w:rFonts w:ascii="Arial" w:eastAsia="Calibri" w:hAnsi="Arial" w:cs="Arial"/>
        </w:rPr>
      </w:pPr>
      <w:r w:rsidRPr="002164C6">
        <w:rPr>
          <w:rFonts w:ascii="Arial" w:eastAsia="Calibri" w:hAnsi="Arial" w:cs="Arial"/>
        </w:rPr>
        <w:t xml:space="preserve">uchylenie aktualnie obowiązującego formularza P6 - na mocy art. 1 pkt 1 ustawy z dnia 26 września 2025 r. o zmianie ustawy – Prawo geodezyjne i kartograficzne, od dnia 13 lutego 2026 r., pełen zakres danych RCN jest udostępniany nieodpłatnie; </w:t>
      </w:r>
    </w:p>
    <w:p w14:paraId="767E05BE" w14:textId="77777777" w:rsidR="002164C6" w:rsidRPr="002164C6" w:rsidRDefault="002164C6" w:rsidP="002164C6">
      <w:pPr>
        <w:spacing w:after="0" w:line="300" w:lineRule="auto"/>
        <w:jc w:val="both"/>
        <w:rPr>
          <w:rFonts w:ascii="Arial" w:eastAsia="Calibri" w:hAnsi="Arial" w:cs="Arial"/>
        </w:rPr>
      </w:pPr>
      <w:r w:rsidRPr="002164C6">
        <w:rPr>
          <w:rFonts w:ascii="Arial" w:eastAsia="Calibri" w:hAnsi="Arial" w:cs="Arial"/>
        </w:rPr>
        <w:t xml:space="preserve">2) załącznik nr 4: </w:t>
      </w:r>
    </w:p>
    <w:p w14:paraId="5BAF42BB" w14:textId="77777777" w:rsidR="002164C6" w:rsidRPr="002164C6" w:rsidRDefault="002164C6" w:rsidP="002164C6">
      <w:pPr>
        <w:pStyle w:val="Akapitzlist"/>
        <w:numPr>
          <w:ilvl w:val="0"/>
          <w:numId w:val="11"/>
        </w:numPr>
        <w:spacing w:after="0" w:line="300" w:lineRule="auto"/>
        <w:jc w:val="both"/>
        <w:rPr>
          <w:rFonts w:ascii="Arial" w:eastAsia="Calibri" w:hAnsi="Arial" w:cs="Arial"/>
        </w:rPr>
      </w:pPr>
      <w:r w:rsidRPr="002164C6">
        <w:rPr>
          <w:rFonts w:ascii="Arial" w:eastAsia="Calibri" w:hAnsi="Arial" w:cs="Arial"/>
        </w:rPr>
        <w:t xml:space="preserve">wykazanie we wniosku o wydanie wypisu lub wyrysu z operatu ewidencyjnego w rubryce 10 dodatkowego podmiotu, o którym mowa w art. 24 ust. 5 pkt 2b ustawy – Prawo geodezyjne i kartograficzne tj. udostępniania danych ewidencji gruntów i budynków na żądanie „sądów na potrzeby prowadzonych postępowań”, </w:t>
      </w:r>
    </w:p>
    <w:p w14:paraId="6D9FF1BF" w14:textId="77777777" w:rsidR="002164C6" w:rsidRPr="002164C6" w:rsidRDefault="002164C6" w:rsidP="002164C6">
      <w:pPr>
        <w:pStyle w:val="Akapitzlist"/>
        <w:numPr>
          <w:ilvl w:val="0"/>
          <w:numId w:val="11"/>
        </w:numPr>
        <w:spacing w:after="0" w:line="300" w:lineRule="auto"/>
        <w:jc w:val="both"/>
        <w:rPr>
          <w:rFonts w:ascii="Arial" w:eastAsia="Calibri" w:hAnsi="Arial" w:cs="Arial"/>
        </w:rPr>
      </w:pPr>
      <w:r w:rsidRPr="002164C6">
        <w:rPr>
          <w:rFonts w:ascii="Arial" w:eastAsia="Calibri" w:hAnsi="Arial" w:cs="Arial"/>
        </w:rPr>
        <w:t xml:space="preserve">dostosowanie treści przypisów wniosku o wydanie wypisu lub wyrysu z operatu ewidencyjnego do obowiązującej definicji jednostki rejestrowej gruntów,  o której mowa w § 13 ust. 1 rozporządzenia Ministra Rozwoju, Pracy  i Technologii z dnia 27 lipca 2021 r. w sprawie ewidencji gruntów i budynków (Dz. U. z 2024 r. poz. 219 z </w:t>
      </w:r>
      <w:proofErr w:type="spellStart"/>
      <w:r w:rsidRPr="002164C6">
        <w:rPr>
          <w:rFonts w:ascii="Arial" w:eastAsia="Calibri" w:hAnsi="Arial" w:cs="Arial"/>
        </w:rPr>
        <w:t>późn</w:t>
      </w:r>
      <w:proofErr w:type="spellEnd"/>
      <w:r w:rsidRPr="002164C6">
        <w:rPr>
          <w:rFonts w:ascii="Arial" w:eastAsia="Calibri" w:hAnsi="Arial" w:cs="Arial"/>
        </w:rPr>
        <w:t xml:space="preserve">. zm.), polegające na skreśleniu </w:t>
      </w:r>
      <w:proofErr w:type="spellStart"/>
      <w:r w:rsidRPr="002164C6">
        <w:rPr>
          <w:rFonts w:ascii="Arial" w:eastAsia="Calibri" w:hAnsi="Arial" w:cs="Arial"/>
        </w:rPr>
        <w:t>odwołań</w:t>
      </w:r>
      <w:proofErr w:type="spellEnd"/>
      <w:r w:rsidRPr="002164C6">
        <w:rPr>
          <w:rFonts w:ascii="Arial" w:eastAsia="Calibri" w:hAnsi="Arial" w:cs="Arial"/>
        </w:rPr>
        <w:t xml:space="preserve"> wskazujących, że jedna jednostka rejestrowa gruntów odpowiada „jednej nieruchomości gruntowej”. </w:t>
      </w:r>
    </w:p>
    <w:p w14:paraId="02318882" w14:textId="2C0A2938" w:rsidR="002164C6" w:rsidRPr="002164C6" w:rsidRDefault="002164C6" w:rsidP="002164C6">
      <w:pPr>
        <w:spacing w:after="0" w:line="300" w:lineRule="auto"/>
        <w:jc w:val="both"/>
        <w:rPr>
          <w:rFonts w:ascii="Arial" w:hAnsi="Arial" w:cs="Arial"/>
        </w:rPr>
      </w:pPr>
      <w:r w:rsidRPr="002164C6">
        <w:rPr>
          <w:rFonts w:ascii="Arial" w:eastAsia="Calibri" w:hAnsi="Arial" w:cs="Arial"/>
        </w:rPr>
        <w:t xml:space="preserve">Projekt rozporządzenia nie ma wpływu na przedsiębiorczość w tym na sektor mikro-, małych i średnich przedsiębiorstw. Zmiany we wzorach dokumentów stosowanych przy udostępnianiu materiałów państwowego zasobu geodezyjnego i kartograficznego oraz naliczeniu związanej z tym opłaty przez organy Służby Geodezyjnej i Kartograficznej wynikają wyłącznie z ich dostosowania do przepisów ustawy – Prawo geodezyjne i kartograficzne i nie nakładają na przedsiębiorców żadnych nowych obowiązków lub wymogów, które nie byłyby przewidziane w </w:t>
      </w:r>
      <w:r w:rsidRPr="002164C6">
        <w:rPr>
          <w:rFonts w:ascii="Arial" w:eastAsia="Calibri" w:hAnsi="Arial" w:cs="Arial"/>
        </w:rPr>
        <w:lastRenderedPageBreak/>
        <w:t>ww. ustawie oraz nie rodzą skutków dla budżetu jednostek finansów publicznych innych niż przewidziane w ww. ustawie.</w:t>
      </w:r>
    </w:p>
    <w:p w14:paraId="33CBE3BE" w14:textId="77777777" w:rsidR="00AD7F1E" w:rsidRDefault="00AD7F1E" w:rsidP="00AD7F1E">
      <w:pPr>
        <w:spacing w:after="0" w:line="300" w:lineRule="auto"/>
        <w:jc w:val="both"/>
        <w:rPr>
          <w:rFonts w:ascii="Arial" w:hAnsi="Arial" w:cs="Arial"/>
        </w:rPr>
      </w:pPr>
    </w:p>
    <w:p w14:paraId="269D894A" w14:textId="77777777" w:rsidR="001223EE" w:rsidRPr="001223EE" w:rsidRDefault="001223EE" w:rsidP="001223EE">
      <w:pPr>
        <w:spacing w:after="0" w:line="300" w:lineRule="auto"/>
        <w:jc w:val="both"/>
        <w:rPr>
          <w:rFonts w:ascii="Arial" w:hAnsi="Arial" w:cs="Arial"/>
        </w:rPr>
      </w:pPr>
      <w:r w:rsidRPr="001223EE">
        <w:rPr>
          <w:rFonts w:ascii="Arial" w:hAnsi="Arial" w:cs="Arial"/>
        </w:rPr>
        <w:t>Przedmiotowy projekt aktu prawnego wraz z załącznikami (szt. 6), Uzasadnieniem oraz Oceną Skutków Regulacji dostępny jest na stronach Rządowego Centrum Legislacji pod adresem:</w:t>
      </w:r>
    </w:p>
    <w:p w14:paraId="2A296F2A" w14:textId="0AEDF56F" w:rsidR="00AD7F1E" w:rsidRDefault="001223EE" w:rsidP="001223EE">
      <w:pPr>
        <w:spacing w:after="0" w:line="300" w:lineRule="auto"/>
        <w:jc w:val="both"/>
        <w:rPr>
          <w:rFonts w:ascii="Arial" w:hAnsi="Arial" w:cs="Arial"/>
        </w:rPr>
      </w:pPr>
      <w:hyperlink r:id="rId8" w:history="1">
        <w:r w:rsidRPr="00066214">
          <w:rPr>
            <w:rStyle w:val="Hipercze"/>
            <w:rFonts w:ascii="Arial" w:hAnsi="Arial" w:cs="Arial"/>
          </w:rPr>
          <w:t>https://legislacja.rcl.gov.pl/projekt/12410556/katalog/</w:t>
        </w:r>
        <w:r w:rsidRPr="00066214">
          <w:rPr>
            <w:rStyle w:val="Hipercze"/>
            <w:rFonts w:ascii="Arial" w:hAnsi="Arial" w:cs="Arial"/>
          </w:rPr>
          <w:t>1</w:t>
        </w:r>
        <w:r w:rsidRPr="00066214">
          <w:rPr>
            <w:rStyle w:val="Hipercze"/>
            <w:rFonts w:ascii="Arial" w:hAnsi="Arial" w:cs="Arial"/>
          </w:rPr>
          <w:t>3205588#13205588</w:t>
        </w:r>
      </w:hyperlink>
      <w:r>
        <w:rPr>
          <w:rFonts w:ascii="Arial" w:hAnsi="Arial" w:cs="Arial"/>
        </w:rPr>
        <w:t xml:space="preserve"> </w:t>
      </w:r>
    </w:p>
    <w:p w14:paraId="54FDBC56" w14:textId="77777777" w:rsidR="001223EE" w:rsidRPr="00A96E77" w:rsidRDefault="001223EE" w:rsidP="001223EE">
      <w:pPr>
        <w:spacing w:after="0" w:line="300" w:lineRule="auto"/>
        <w:jc w:val="both"/>
        <w:rPr>
          <w:rFonts w:ascii="Arial" w:hAnsi="Arial" w:cs="Arial"/>
        </w:rPr>
      </w:pPr>
    </w:p>
    <w:p w14:paraId="4AB92BDB" w14:textId="24927200" w:rsidR="00AD7F1E" w:rsidRPr="00042C7F" w:rsidRDefault="001223EE" w:rsidP="001223EE">
      <w:pPr>
        <w:spacing w:after="0" w:line="300" w:lineRule="auto"/>
        <w:jc w:val="both"/>
        <w:rPr>
          <w:rFonts w:ascii="Arial" w:hAnsi="Arial" w:cs="Arial"/>
        </w:rPr>
      </w:pPr>
      <w:r w:rsidRPr="001223EE">
        <w:rPr>
          <w:rFonts w:ascii="Arial" w:hAnsi="Arial" w:cs="Arial"/>
        </w:rPr>
        <w:t>Projekt jest obecnie jednocześnie na etapie uzgodnień, konsultacji publicznych i opiniowania.</w:t>
      </w:r>
    </w:p>
    <w:p w14:paraId="3CD46021" w14:textId="77777777" w:rsidR="00AD7F1E" w:rsidRPr="00CC391D" w:rsidRDefault="00AD7F1E" w:rsidP="001223EE">
      <w:pPr>
        <w:spacing w:after="0" w:line="300" w:lineRule="auto"/>
        <w:jc w:val="both"/>
        <w:rPr>
          <w:rFonts w:ascii="Arial" w:hAnsi="Arial" w:cs="Arial"/>
          <w:bCs/>
        </w:rPr>
      </w:pPr>
    </w:p>
    <w:p w14:paraId="3A789739" w14:textId="77777777" w:rsidR="00AD7F1E" w:rsidRPr="00CB4A6E" w:rsidRDefault="00AD7F1E" w:rsidP="00AD7F1E">
      <w:pPr>
        <w:spacing w:after="0" w:line="300" w:lineRule="auto"/>
        <w:rPr>
          <w:rFonts w:ascii="Arial" w:hAnsi="Arial" w:cs="Arial"/>
        </w:rPr>
      </w:pPr>
    </w:p>
    <w:p w14:paraId="3F4E3941" w14:textId="77777777" w:rsidR="00AD7F1E" w:rsidRDefault="00AD7F1E" w:rsidP="00AD7F1E">
      <w:pPr>
        <w:spacing w:after="0" w:line="300" w:lineRule="auto"/>
        <w:jc w:val="both"/>
        <w:rPr>
          <w:rFonts w:ascii="Arial" w:hAnsi="Arial" w:cs="Arial"/>
          <w:b/>
        </w:rPr>
      </w:pPr>
      <w:r>
        <w:rPr>
          <w:rFonts w:ascii="Arial" w:hAnsi="Arial" w:cs="Arial"/>
          <w:b/>
        </w:rPr>
        <w:t>II. Ogłoszone akty prawne (Dziennik Ustaw RP)</w:t>
      </w:r>
    </w:p>
    <w:p w14:paraId="36F73A65" w14:textId="77777777" w:rsidR="00AD7F1E" w:rsidRDefault="00AD7F1E" w:rsidP="00AD7F1E">
      <w:pPr>
        <w:spacing w:after="0" w:line="300" w:lineRule="auto"/>
        <w:jc w:val="both"/>
        <w:rPr>
          <w:rFonts w:ascii="Arial" w:hAnsi="Arial" w:cs="Arial"/>
        </w:rPr>
      </w:pPr>
    </w:p>
    <w:p w14:paraId="03A62755" w14:textId="286EB678" w:rsidR="00AD7F1E" w:rsidRDefault="00AD7F1E" w:rsidP="006C1BF4">
      <w:pPr>
        <w:spacing w:after="0" w:line="300" w:lineRule="auto"/>
        <w:jc w:val="both"/>
        <w:rPr>
          <w:rFonts w:ascii="Arial" w:hAnsi="Arial" w:cs="Arial"/>
        </w:rPr>
      </w:pPr>
      <w:r>
        <w:rPr>
          <w:rFonts w:ascii="Arial" w:hAnsi="Arial" w:cs="Arial"/>
        </w:rPr>
        <w:t xml:space="preserve">W analizowanym okresie ogłoszono </w:t>
      </w:r>
      <w:r w:rsidR="001223EE">
        <w:rPr>
          <w:rFonts w:ascii="Arial" w:hAnsi="Arial" w:cs="Arial"/>
        </w:rPr>
        <w:t>21</w:t>
      </w:r>
      <w:r>
        <w:rPr>
          <w:rFonts w:ascii="Arial" w:hAnsi="Arial" w:cs="Arial"/>
        </w:rPr>
        <w:t xml:space="preserve"> akt</w:t>
      </w:r>
      <w:r w:rsidR="001223EE">
        <w:rPr>
          <w:rFonts w:ascii="Arial" w:hAnsi="Arial" w:cs="Arial"/>
        </w:rPr>
        <w:t>ów</w:t>
      </w:r>
      <w:r>
        <w:rPr>
          <w:rFonts w:ascii="Arial" w:hAnsi="Arial" w:cs="Arial"/>
        </w:rPr>
        <w:t xml:space="preserve"> prawn</w:t>
      </w:r>
      <w:r w:rsidR="001223EE">
        <w:rPr>
          <w:rFonts w:ascii="Arial" w:hAnsi="Arial" w:cs="Arial"/>
        </w:rPr>
        <w:t>ych</w:t>
      </w:r>
      <w:r>
        <w:rPr>
          <w:rFonts w:ascii="Arial" w:hAnsi="Arial" w:cs="Arial"/>
        </w:rPr>
        <w:t>, tzn. ustaw, rozporządze</w:t>
      </w:r>
      <w:r w:rsidR="001223EE">
        <w:rPr>
          <w:rFonts w:ascii="Arial" w:hAnsi="Arial" w:cs="Arial"/>
        </w:rPr>
        <w:t>ń</w:t>
      </w:r>
      <w:r>
        <w:rPr>
          <w:rFonts w:ascii="Arial" w:hAnsi="Arial" w:cs="Arial"/>
        </w:rPr>
        <w:t xml:space="preserve"> Rady Ministrów, Prezesa Rady Ministrów i poszczególnych ministrów, obwieszcze</w:t>
      </w:r>
      <w:r w:rsidR="001223EE">
        <w:rPr>
          <w:rFonts w:ascii="Arial" w:hAnsi="Arial" w:cs="Arial"/>
        </w:rPr>
        <w:t>ń</w:t>
      </w:r>
      <w:r>
        <w:rPr>
          <w:rFonts w:ascii="Arial" w:hAnsi="Arial" w:cs="Arial"/>
        </w:rPr>
        <w:t xml:space="preserve"> w sprawie ogłoszenia tekstu jednolitego. </w:t>
      </w:r>
    </w:p>
    <w:p w14:paraId="5EADDD1A" w14:textId="77777777" w:rsidR="00580328" w:rsidRDefault="00580328" w:rsidP="00AD7F1E">
      <w:pPr>
        <w:spacing w:after="0" w:line="300" w:lineRule="auto"/>
      </w:pPr>
    </w:p>
    <w:sectPr w:rsidR="0058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4522"/>
    <w:multiLevelType w:val="hybridMultilevel"/>
    <w:tmpl w:val="F6C0E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C94E06"/>
    <w:multiLevelType w:val="hybridMultilevel"/>
    <w:tmpl w:val="25A0F4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444CAE"/>
    <w:multiLevelType w:val="hybridMultilevel"/>
    <w:tmpl w:val="E8B4C1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D60D92"/>
    <w:multiLevelType w:val="hybridMultilevel"/>
    <w:tmpl w:val="B296B2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83C21A8"/>
    <w:multiLevelType w:val="hybridMultilevel"/>
    <w:tmpl w:val="BEDEE5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0A5F3C"/>
    <w:multiLevelType w:val="hybridMultilevel"/>
    <w:tmpl w:val="C09A69CA"/>
    <w:lvl w:ilvl="0" w:tplc="04150017">
      <w:start w:val="1"/>
      <w:numFmt w:val="lowerLetter"/>
      <w:lvlText w:val="%1)"/>
      <w:lvlJc w:val="left"/>
      <w:pPr>
        <w:ind w:left="720" w:hanging="360"/>
      </w:pPr>
    </w:lvl>
    <w:lvl w:ilvl="1" w:tplc="E4703D28">
      <w:numFmt w:val="bullet"/>
      <w:lvlText w:val="•"/>
      <w:lvlJc w:val="left"/>
      <w:pPr>
        <w:ind w:left="1440" w:hanging="360"/>
      </w:pPr>
      <w:rPr>
        <w:rFonts w:ascii="Aptos" w:eastAsia="Calibri" w:hAnsi="Apto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3"/>
  </w:num>
  <w:num w:numId="2" w16cid:durableId="311831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1"/>
  </w:num>
  <w:num w:numId="4" w16cid:durableId="5788216">
    <w:abstractNumId w:val="7"/>
  </w:num>
  <w:num w:numId="5" w16cid:durableId="1820147117">
    <w:abstractNumId w:val="6"/>
  </w:num>
  <w:num w:numId="6" w16cid:durableId="548342539">
    <w:abstractNumId w:val="5"/>
  </w:num>
  <w:num w:numId="7" w16cid:durableId="3094792">
    <w:abstractNumId w:val="4"/>
  </w:num>
  <w:num w:numId="8" w16cid:durableId="1124344836">
    <w:abstractNumId w:val="9"/>
  </w:num>
  <w:num w:numId="9" w16cid:durableId="372341361">
    <w:abstractNumId w:val="0"/>
  </w:num>
  <w:num w:numId="10" w16cid:durableId="702054144">
    <w:abstractNumId w:val="10"/>
  </w:num>
  <w:num w:numId="11" w16cid:durableId="201602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1E"/>
    <w:rsid w:val="001223EE"/>
    <w:rsid w:val="00164276"/>
    <w:rsid w:val="002164C6"/>
    <w:rsid w:val="00580328"/>
    <w:rsid w:val="005D30A0"/>
    <w:rsid w:val="006C1BF4"/>
    <w:rsid w:val="00A66597"/>
    <w:rsid w:val="00AD7F1E"/>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14D2"/>
  <w15:chartTrackingRefBased/>
  <w15:docId w15:val="{F3A2B753-A909-4241-A6C5-18C11672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7F1E"/>
    <w:pPr>
      <w:spacing w:after="200" w:line="276" w:lineRule="auto"/>
    </w:pPr>
    <w:rPr>
      <w:kern w:val="0"/>
      <w14:ligatures w14:val="none"/>
    </w:rPr>
  </w:style>
  <w:style w:type="paragraph" w:styleId="Nagwek1">
    <w:name w:val="heading 1"/>
    <w:basedOn w:val="Normalny"/>
    <w:next w:val="Normalny"/>
    <w:link w:val="Nagwek1Znak"/>
    <w:uiPriority w:val="9"/>
    <w:qFormat/>
    <w:rsid w:val="00AD7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7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D7F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7F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7F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7F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7F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7F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7F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7F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D7F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D7F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7F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7F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7F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7F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7F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7F1E"/>
    <w:rPr>
      <w:rFonts w:eastAsiaTheme="majorEastAsia" w:cstheme="majorBidi"/>
      <w:color w:val="272727" w:themeColor="text1" w:themeTint="D8"/>
    </w:rPr>
  </w:style>
  <w:style w:type="paragraph" w:styleId="Tytu">
    <w:name w:val="Title"/>
    <w:basedOn w:val="Normalny"/>
    <w:next w:val="Normalny"/>
    <w:link w:val="TytuZnak"/>
    <w:uiPriority w:val="10"/>
    <w:qFormat/>
    <w:rsid w:val="00AD7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7F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7F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7F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7F1E"/>
    <w:pPr>
      <w:spacing w:before="160"/>
      <w:jc w:val="center"/>
    </w:pPr>
    <w:rPr>
      <w:i/>
      <w:iCs/>
      <w:color w:val="404040" w:themeColor="text1" w:themeTint="BF"/>
    </w:rPr>
  </w:style>
  <w:style w:type="character" w:customStyle="1" w:styleId="CytatZnak">
    <w:name w:val="Cytat Znak"/>
    <w:basedOn w:val="Domylnaczcionkaakapitu"/>
    <w:link w:val="Cytat"/>
    <w:uiPriority w:val="29"/>
    <w:rsid w:val="00AD7F1E"/>
    <w:rPr>
      <w:i/>
      <w:iCs/>
      <w:color w:val="404040" w:themeColor="text1" w:themeTint="BF"/>
    </w:rPr>
  </w:style>
  <w:style w:type="paragraph" w:styleId="Akapitzlist">
    <w:name w:val="List Paragraph"/>
    <w:basedOn w:val="Normalny"/>
    <w:uiPriority w:val="34"/>
    <w:qFormat/>
    <w:rsid w:val="00AD7F1E"/>
    <w:pPr>
      <w:ind w:left="720"/>
      <w:contextualSpacing/>
    </w:pPr>
  </w:style>
  <w:style w:type="character" w:styleId="Wyrnienieintensywne">
    <w:name w:val="Intense Emphasis"/>
    <w:basedOn w:val="Domylnaczcionkaakapitu"/>
    <w:uiPriority w:val="21"/>
    <w:qFormat/>
    <w:rsid w:val="00AD7F1E"/>
    <w:rPr>
      <w:i/>
      <w:iCs/>
      <w:color w:val="0F4761" w:themeColor="accent1" w:themeShade="BF"/>
    </w:rPr>
  </w:style>
  <w:style w:type="paragraph" w:styleId="Cytatintensywny">
    <w:name w:val="Intense Quote"/>
    <w:basedOn w:val="Normalny"/>
    <w:next w:val="Normalny"/>
    <w:link w:val="CytatintensywnyZnak"/>
    <w:uiPriority w:val="30"/>
    <w:qFormat/>
    <w:rsid w:val="00AD7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7F1E"/>
    <w:rPr>
      <w:i/>
      <w:iCs/>
      <w:color w:val="0F4761" w:themeColor="accent1" w:themeShade="BF"/>
    </w:rPr>
  </w:style>
  <w:style w:type="character" w:styleId="Odwoanieintensywne">
    <w:name w:val="Intense Reference"/>
    <w:basedOn w:val="Domylnaczcionkaakapitu"/>
    <w:uiPriority w:val="32"/>
    <w:qFormat/>
    <w:rsid w:val="00AD7F1E"/>
    <w:rPr>
      <w:b/>
      <w:bCs/>
      <w:smallCaps/>
      <w:color w:val="0F4761" w:themeColor="accent1" w:themeShade="BF"/>
      <w:spacing w:val="5"/>
    </w:rPr>
  </w:style>
  <w:style w:type="character" w:customStyle="1" w:styleId="markedcontent">
    <w:name w:val="markedcontent"/>
    <w:basedOn w:val="Domylnaczcionkaakapitu"/>
    <w:rsid w:val="00AD7F1E"/>
  </w:style>
  <w:style w:type="character" w:styleId="Hipercze">
    <w:name w:val="Hyperlink"/>
    <w:basedOn w:val="Domylnaczcionkaakapitu"/>
    <w:uiPriority w:val="99"/>
    <w:unhideWhenUsed/>
    <w:rsid w:val="005D30A0"/>
    <w:rPr>
      <w:color w:val="467886" w:themeColor="hyperlink"/>
      <w:u w:val="single"/>
    </w:rPr>
  </w:style>
  <w:style w:type="character" w:styleId="Nierozpoznanawzmianka">
    <w:name w:val="Unresolved Mention"/>
    <w:basedOn w:val="Domylnaczcionkaakapitu"/>
    <w:uiPriority w:val="99"/>
    <w:semiHidden/>
    <w:unhideWhenUsed/>
    <w:rsid w:val="005D30A0"/>
    <w:rPr>
      <w:color w:val="605E5C"/>
      <w:shd w:val="clear" w:color="auto" w:fill="E1DFDD"/>
    </w:rPr>
  </w:style>
  <w:style w:type="character" w:styleId="UyteHipercze">
    <w:name w:val="FollowedHyperlink"/>
    <w:basedOn w:val="Domylnaczcionkaakapitu"/>
    <w:uiPriority w:val="99"/>
    <w:semiHidden/>
    <w:unhideWhenUsed/>
    <w:rsid w:val="005D30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10556/katalog/13205588#13205588" TargetMode="External"/><Relationship Id="rId3" Type="http://schemas.openxmlformats.org/officeDocument/2006/relationships/settings" Target="settings.xml"/><Relationship Id="rId7" Type="http://schemas.openxmlformats.org/officeDocument/2006/relationships/hyperlink" Target="https://legislacja.rcl.gov.pl/projekt/12410401/katalog/13204866#132048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10400/katalog/13204814#1320481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5401</Words>
  <Characters>32407</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4</cp:revision>
  <dcterms:created xsi:type="dcterms:W3CDTF">2026-05-28T11:34:00Z</dcterms:created>
  <dcterms:modified xsi:type="dcterms:W3CDTF">2026-05-28T12:34:00Z</dcterms:modified>
</cp:coreProperties>
</file>