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EFB6" w14:textId="77777777" w:rsidR="000B5F44" w:rsidRPr="00586923" w:rsidRDefault="000B5F44" w:rsidP="000B5F44">
      <w:pPr>
        <w:rPr>
          <w:rFonts w:ascii="Arial" w:hAnsi="Arial" w:cs="Arial"/>
        </w:rPr>
      </w:pPr>
      <w:r w:rsidRPr="00586923">
        <w:rPr>
          <w:rFonts w:ascii="Arial" w:hAnsi="Arial" w:cs="Arial"/>
          <w:noProof/>
          <w:lang w:eastAsia="pl-PL"/>
        </w:rPr>
        <w:drawing>
          <wp:inline distT="0" distB="0" distL="0" distR="0" wp14:anchorId="6C0B9A0D" wp14:editId="1421E7A0">
            <wp:extent cx="5683910" cy="943559"/>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LK.png"/>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461CFA26" w14:textId="77777777" w:rsidR="000B5F44" w:rsidRDefault="000B5F44" w:rsidP="000B5F44">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60B56642" w14:textId="77777777" w:rsidR="000B5F44" w:rsidRPr="00586923" w:rsidRDefault="000B5F44" w:rsidP="000B5F44">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2A20E5BE" w14:textId="5099F6DF" w:rsidR="000B5F44" w:rsidRPr="00586923" w:rsidRDefault="000B5F44" w:rsidP="000B5F44">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25</w:t>
      </w:r>
      <w:r>
        <w:rPr>
          <w:rFonts w:ascii="Arial" w:hAnsi="Arial" w:cs="Arial"/>
          <w:b/>
        </w:rPr>
        <w:t xml:space="preserve"> </w:t>
      </w:r>
      <w:r w:rsidRPr="00586923">
        <w:rPr>
          <w:rFonts w:ascii="Arial" w:hAnsi="Arial" w:cs="Arial"/>
          <w:b/>
        </w:rPr>
        <w:t xml:space="preserve">do </w:t>
      </w:r>
      <w:r>
        <w:rPr>
          <w:rFonts w:ascii="Arial" w:hAnsi="Arial" w:cs="Arial"/>
          <w:b/>
        </w:rPr>
        <w:t>31 maja</w:t>
      </w:r>
      <w:r w:rsidRPr="00586923">
        <w:rPr>
          <w:rFonts w:ascii="Arial" w:hAnsi="Arial" w:cs="Arial"/>
          <w:b/>
        </w:rPr>
        <w:t xml:space="preserve"> 202</w:t>
      </w:r>
      <w:r>
        <w:rPr>
          <w:rFonts w:ascii="Arial" w:hAnsi="Arial" w:cs="Arial"/>
          <w:b/>
        </w:rPr>
        <w:t xml:space="preserve">6 </w:t>
      </w:r>
      <w:r w:rsidRPr="00586923">
        <w:rPr>
          <w:rFonts w:ascii="Arial" w:hAnsi="Arial" w:cs="Arial"/>
          <w:b/>
        </w:rPr>
        <w:t>roku</w:t>
      </w:r>
    </w:p>
    <w:p w14:paraId="4B1A75DA" w14:textId="1811FE10" w:rsidR="000B5F44" w:rsidRPr="00AC3187" w:rsidRDefault="000B5F44" w:rsidP="000B5F44">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5 czerwca</w:t>
      </w:r>
      <w:r w:rsidRPr="00AC3187">
        <w:rPr>
          <w:rFonts w:ascii="Arial" w:hAnsi="Arial" w:cs="Arial"/>
        </w:rPr>
        <w:t xml:space="preserve"> 202</w:t>
      </w:r>
      <w:r>
        <w:rPr>
          <w:rFonts w:ascii="Arial" w:hAnsi="Arial" w:cs="Arial"/>
        </w:rPr>
        <w:t>6</w:t>
      </w:r>
      <w:r w:rsidRPr="00AC3187">
        <w:rPr>
          <w:rFonts w:ascii="Arial" w:hAnsi="Arial" w:cs="Arial"/>
        </w:rPr>
        <w:t xml:space="preserve"> roku</w:t>
      </w:r>
    </w:p>
    <w:p w14:paraId="5127FF24" w14:textId="77777777" w:rsidR="000B5F44" w:rsidRPr="00586923" w:rsidRDefault="000B5F44" w:rsidP="000B5F44">
      <w:pPr>
        <w:spacing w:after="0" w:line="300" w:lineRule="auto"/>
        <w:jc w:val="both"/>
        <w:rPr>
          <w:rFonts w:ascii="Arial" w:hAnsi="Arial" w:cs="Arial"/>
        </w:rPr>
      </w:pPr>
    </w:p>
    <w:p w14:paraId="0673E4D8" w14:textId="77777777" w:rsidR="000B5F44" w:rsidRPr="000B65D1" w:rsidRDefault="000B5F44" w:rsidP="000B5F44">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271EE100" w14:textId="77777777" w:rsidR="000B5F44" w:rsidRDefault="000B5F44" w:rsidP="000B5F44">
      <w:pPr>
        <w:spacing w:after="0" w:line="300" w:lineRule="auto"/>
        <w:jc w:val="both"/>
        <w:rPr>
          <w:rFonts w:ascii="Arial" w:hAnsi="Arial" w:cs="Arial"/>
        </w:rPr>
      </w:pPr>
    </w:p>
    <w:p w14:paraId="66AA8F1F" w14:textId="43EEF283" w:rsidR="000B5F44" w:rsidRPr="00C70674" w:rsidRDefault="000B5F44" w:rsidP="000B5F44">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sidR="005607A6">
        <w:rPr>
          <w:rFonts w:ascii="Arial" w:eastAsia="Calibri" w:hAnsi="Arial" w:cs="Arial"/>
          <w:bCs/>
        </w:rPr>
        <w:t>5</w:t>
      </w:r>
      <w:r w:rsidRPr="00C70674">
        <w:rPr>
          <w:rFonts w:ascii="Arial" w:eastAsia="Calibri" w:hAnsi="Arial" w:cs="Arial"/>
          <w:bCs/>
        </w:rPr>
        <w:t xml:space="preserve"> projekt</w:t>
      </w:r>
      <w:r w:rsidR="005607A6">
        <w:rPr>
          <w:rFonts w:ascii="Arial" w:eastAsia="Calibri" w:hAnsi="Arial" w:cs="Arial"/>
          <w:bCs/>
        </w:rPr>
        <w:t>ów</w:t>
      </w:r>
      <w:r>
        <w:rPr>
          <w:rFonts w:ascii="Arial" w:eastAsia="Calibri" w:hAnsi="Arial" w:cs="Arial"/>
          <w:bCs/>
        </w:rPr>
        <w:t xml:space="preserve"> ustaw</w:t>
      </w:r>
      <w:r w:rsidRPr="00C70674">
        <w:rPr>
          <w:rFonts w:ascii="Arial" w:eastAsia="Calibri" w:hAnsi="Arial" w:cs="Arial"/>
          <w:bCs/>
        </w:rPr>
        <w:t xml:space="preserve"> oraz</w:t>
      </w:r>
      <w:r w:rsidRPr="00C70674">
        <w:rPr>
          <w:rFonts w:ascii="Arial" w:hAnsi="Arial" w:cs="Arial"/>
        </w:rPr>
        <w:t xml:space="preserve"> </w:t>
      </w:r>
      <w:r w:rsidR="005607A6">
        <w:rPr>
          <w:rFonts w:ascii="Arial" w:hAnsi="Arial" w:cs="Arial"/>
        </w:rPr>
        <w:t xml:space="preserve">11 </w:t>
      </w:r>
      <w:r w:rsidRPr="00C70674">
        <w:rPr>
          <w:rFonts w:ascii="Arial" w:hAnsi="Arial" w:cs="Arial"/>
        </w:rPr>
        <w:t>projekt</w:t>
      </w:r>
      <w:r w:rsidR="005607A6">
        <w:rPr>
          <w:rFonts w:ascii="Arial" w:hAnsi="Arial" w:cs="Arial"/>
        </w:rPr>
        <w:t>ów</w:t>
      </w:r>
      <w:r w:rsidRPr="00C70674">
        <w:rPr>
          <w:rFonts w:ascii="Arial" w:hAnsi="Arial" w:cs="Arial"/>
        </w:rPr>
        <w:t xml:space="preserve"> rozporządzeń Rady Ministrów, Prezesa Rady Ministrów oraz poszczególnych Ministrów.</w:t>
      </w:r>
    </w:p>
    <w:p w14:paraId="38417519" w14:textId="77777777" w:rsidR="000B5F44" w:rsidRPr="00C70674" w:rsidRDefault="000B5F44" w:rsidP="000B5F44">
      <w:pPr>
        <w:spacing w:after="0" w:line="300" w:lineRule="auto"/>
        <w:jc w:val="both"/>
        <w:rPr>
          <w:rFonts w:ascii="Arial" w:hAnsi="Arial" w:cs="Arial"/>
        </w:rPr>
      </w:pPr>
    </w:p>
    <w:p w14:paraId="42361BF2" w14:textId="7DC54C39" w:rsidR="000B5F44" w:rsidRDefault="000B5F44" w:rsidP="000B5F44">
      <w:pPr>
        <w:spacing w:after="0" w:line="300" w:lineRule="auto"/>
        <w:jc w:val="both"/>
        <w:rPr>
          <w:rFonts w:ascii="Arial" w:hAnsi="Arial" w:cs="Arial"/>
        </w:rPr>
      </w:pPr>
      <w:r>
        <w:rPr>
          <w:rFonts w:ascii="Arial" w:hAnsi="Arial" w:cs="Arial"/>
        </w:rPr>
        <w:t xml:space="preserve">Przeprowadzono konsultacje </w:t>
      </w:r>
      <w:r w:rsidR="005607A6">
        <w:rPr>
          <w:rFonts w:ascii="Arial" w:hAnsi="Arial" w:cs="Arial"/>
        </w:rPr>
        <w:t>2</w:t>
      </w:r>
      <w:r>
        <w:rPr>
          <w:rFonts w:ascii="Arial" w:hAnsi="Arial" w:cs="Arial"/>
        </w:rPr>
        <w:t xml:space="preserve"> projekt</w:t>
      </w:r>
      <w:r w:rsidR="005607A6">
        <w:rPr>
          <w:rFonts w:ascii="Arial" w:hAnsi="Arial" w:cs="Arial"/>
        </w:rPr>
        <w:t>ów</w:t>
      </w:r>
      <w:r>
        <w:rPr>
          <w:rFonts w:ascii="Arial" w:hAnsi="Arial" w:cs="Arial"/>
        </w:rPr>
        <w:t xml:space="preserve"> ustaw i </w:t>
      </w:r>
      <w:r w:rsidR="005607A6">
        <w:rPr>
          <w:rFonts w:ascii="Arial" w:hAnsi="Arial" w:cs="Arial"/>
        </w:rPr>
        <w:t>5</w:t>
      </w:r>
      <w:r>
        <w:rPr>
          <w:rFonts w:ascii="Arial" w:hAnsi="Arial" w:cs="Arial"/>
        </w:rPr>
        <w:t xml:space="preserve"> projekt</w:t>
      </w:r>
      <w:r w:rsidR="005607A6">
        <w:rPr>
          <w:rFonts w:ascii="Arial" w:hAnsi="Arial" w:cs="Arial"/>
        </w:rPr>
        <w:t>ów</w:t>
      </w:r>
      <w:r>
        <w:rPr>
          <w:rFonts w:ascii="Arial" w:hAnsi="Arial" w:cs="Arial"/>
        </w:rPr>
        <w:t xml:space="preserve"> rozporządzeń dotyczących podmiotów członkowskich (pracodawcy, przedsiębiorcy, JST) zrzeszonych w Związku. </w:t>
      </w:r>
    </w:p>
    <w:p w14:paraId="30DAE0EA" w14:textId="77777777" w:rsidR="000B5F44" w:rsidRDefault="000B5F44" w:rsidP="000B5F44">
      <w:pPr>
        <w:spacing w:after="0" w:line="300" w:lineRule="auto"/>
        <w:jc w:val="both"/>
        <w:rPr>
          <w:rFonts w:ascii="Arial" w:hAnsi="Arial" w:cs="Arial"/>
        </w:rPr>
      </w:pPr>
      <w:r>
        <w:rPr>
          <w:rFonts w:ascii="Arial" w:hAnsi="Arial" w:cs="Arial"/>
        </w:rPr>
        <w:t>Do konsultacji przekazane zostały następujące projekty:</w:t>
      </w:r>
    </w:p>
    <w:p w14:paraId="57F34E38" w14:textId="77777777" w:rsidR="000B5F44" w:rsidRDefault="000B5F44" w:rsidP="000B5F44">
      <w:pPr>
        <w:spacing w:after="0" w:line="300" w:lineRule="auto"/>
        <w:jc w:val="both"/>
        <w:rPr>
          <w:rFonts w:ascii="Arial" w:hAnsi="Arial" w:cs="Arial"/>
        </w:rPr>
      </w:pPr>
    </w:p>
    <w:p w14:paraId="2C0C92B0" w14:textId="77777777" w:rsidR="000B5F44" w:rsidRDefault="000B5F44" w:rsidP="000B5F44">
      <w:pPr>
        <w:spacing w:after="0" w:line="300" w:lineRule="auto"/>
        <w:jc w:val="both"/>
        <w:rPr>
          <w:rFonts w:ascii="Arial" w:hAnsi="Arial" w:cs="Arial"/>
        </w:rPr>
      </w:pPr>
      <w:r>
        <w:rPr>
          <w:rFonts w:ascii="Arial" w:hAnsi="Arial" w:cs="Arial"/>
        </w:rPr>
        <w:t>Projekty ustaw:</w:t>
      </w:r>
    </w:p>
    <w:p w14:paraId="3F2225CF" w14:textId="77777777" w:rsidR="005607A6" w:rsidRDefault="005607A6" w:rsidP="000B5F44">
      <w:pPr>
        <w:spacing w:after="0" w:line="300" w:lineRule="auto"/>
        <w:jc w:val="both"/>
        <w:rPr>
          <w:rFonts w:ascii="Arial" w:hAnsi="Arial" w:cs="Arial"/>
        </w:rPr>
      </w:pPr>
    </w:p>
    <w:p w14:paraId="347D773E" w14:textId="62C1D083" w:rsidR="005607A6" w:rsidRPr="0068737A" w:rsidRDefault="0068737A" w:rsidP="005607A6">
      <w:pPr>
        <w:pStyle w:val="Akapitzlist"/>
        <w:numPr>
          <w:ilvl w:val="0"/>
          <w:numId w:val="3"/>
        </w:numPr>
        <w:spacing w:after="0" w:line="300" w:lineRule="auto"/>
        <w:jc w:val="both"/>
        <w:rPr>
          <w:rFonts w:ascii="Arial" w:hAnsi="Arial" w:cs="Arial"/>
          <w:b/>
          <w:bCs/>
          <w:u w:val="single"/>
        </w:rPr>
      </w:pPr>
      <w:r w:rsidRPr="0068737A">
        <w:rPr>
          <w:rFonts w:ascii="Arial" w:hAnsi="Arial" w:cs="Arial"/>
          <w:b/>
          <w:bCs/>
          <w:u w:val="single"/>
        </w:rPr>
        <w:t>P</w:t>
      </w:r>
      <w:r w:rsidRPr="0068737A">
        <w:rPr>
          <w:rFonts w:ascii="Arial" w:hAnsi="Arial" w:cs="Arial"/>
          <w:b/>
          <w:bCs/>
          <w:u w:val="single"/>
        </w:rPr>
        <w:t>rojekt ustawy o zmianie ustawy – Ordynacja podatkowa oraz niektórych innych ustaw (UDER111).</w:t>
      </w:r>
    </w:p>
    <w:p w14:paraId="5BE10432" w14:textId="77777777" w:rsidR="005607A6" w:rsidRPr="0068737A" w:rsidRDefault="005607A6" w:rsidP="0068737A">
      <w:pPr>
        <w:spacing w:after="0" w:line="300" w:lineRule="auto"/>
        <w:jc w:val="both"/>
        <w:rPr>
          <w:rFonts w:ascii="Arial" w:hAnsi="Arial" w:cs="Arial"/>
        </w:rPr>
      </w:pPr>
    </w:p>
    <w:p w14:paraId="4EE4B97F"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Brak jest jednolitych zasad dokonywania korekt ksiąg podatkowych, których obowiązek przesyłania organom podatkowym za pomocą środków komunikacji elektronicznej, w postaci elektronicznej, wynika z niektórych ustaw podatkowych.</w:t>
      </w:r>
    </w:p>
    <w:p w14:paraId="37AD0A2A"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 xml:space="preserve">Obecnie regulacje dotyczące korekt ksiąg podatkowych przesłanych za pomocą środków komunikacji elektronicznej, w postaci elektronicznej, są zawarte wyłącznie w ustawie z dnia 11 marca 2004 r. o podatku od towarów i usług (Dz. U. z 2025 r. poz. 775, z </w:t>
      </w:r>
      <w:proofErr w:type="spellStart"/>
      <w:r w:rsidRPr="0068737A">
        <w:rPr>
          <w:rFonts w:ascii="Arial" w:eastAsia="Calibri" w:hAnsi="Arial" w:cs="Arial"/>
        </w:rPr>
        <w:t>późn</w:t>
      </w:r>
      <w:proofErr w:type="spellEnd"/>
      <w:r w:rsidRPr="0068737A">
        <w:rPr>
          <w:rFonts w:ascii="Arial" w:eastAsia="Calibri" w:hAnsi="Arial" w:cs="Arial"/>
        </w:rPr>
        <w:t>. zm.; dalej: „ustawa o VAT”) i dotyczą ewidencji JPK dla celów podatku VAT. Tego rodzaju regulacji nie zawierają przepisy dotyczące ksiąg podatkowych w postaci JPK, zawarte w ustawie z dnia 26 lipca 1991 r. o podatku dochodowym od osób fizycznych (Dz. U. z 2026 r. poz. 592), ustawie z dnia 15 lutego 1992 r. o podatku dochodowym od osób prawnych (Dz. U. z 2026 r. poz. 554) oraz ustawie z dnia 20 listopada 1998 r. o zryczałtowanym podatku dochodowym od niektórych przychodów osiąganych przez osoby fizyczne (Dz. U. z 2025 r. poz. 843). Brak jednolitych, ogólnych regulacji powoduje, że podatnicy muszą działać na podstawie przepisów szczególnych, właściwych dla księgi podatkowej w ramach danego podatku.</w:t>
      </w:r>
    </w:p>
    <w:p w14:paraId="046BCAFF"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 xml:space="preserve">Brak podstawy prawnej do udostępniania podatnikom (płatnikom) generowanych automatycznie danych w systemie teleinformatycznym organu Krajowej Administracji Skarbowej (e-Urzędzie Skarbowym lub Platformie Usług Elektronicznych Skarbowo-Celnych) </w:t>
      </w:r>
      <w:r w:rsidRPr="0068737A">
        <w:rPr>
          <w:rFonts w:ascii="Arial" w:eastAsia="Calibri" w:hAnsi="Arial" w:cs="Arial"/>
        </w:rPr>
        <w:lastRenderedPageBreak/>
        <w:t>dotyczących tych podatników (płatników). Obecny model funkcjonowania usług podatkowych, oparty na wnioskowym udostępnianiu danych przez organy Krajowej Administracji Skarbowej, nie w pełni odpowiada potrzebom współczesnych podatników – zarówno osób fizycznych nieprowadzącym działalności gospodarczej, jak i przedsiębiorców. Choć przepisy umożliwiają wydanie zaświadczenia potwierdzającego fakty lub stan prawny wynikający z ewidencji, rejestrów i innych danych posiadanych przez organ, to wciąż konieczne jest każdorazowe złożenie wniosku wraz z wykazaniem interesu prawnego lub podstawy prawnej żądania zaświadczenia, co powoduje zbędny formalizm oraz opóźnienia w dostępie do danych, które organ i tak posiada.</w:t>
      </w:r>
    </w:p>
    <w:p w14:paraId="36575508"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W praktyce oznacza to, że podatnicy – zwłaszcza przedsiębiorcy – muszą cyklicznie występować z wnioskami o potwierdzenie danych, które są niezbędne w kontaktach z innymi instytucjami publicznymi lub sektora finansowego. Proces ten, mimo digitalizacji, wymaga czynności po stronie podatnika, a następnie weryfikacji i obsługi sprawy po stronie administracji.</w:t>
      </w:r>
    </w:p>
    <w:p w14:paraId="4F65D6D1"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Projektowane rozwiązanie upraszcza dotychczasową procedurę, eliminując konieczność każdorazowego uzasadniania interesu prawnego czy podstawy prawnej we wniosku. Dane dotyczące sytuacji podatnika będą mogły być generowane i udostępniane w sposób zautomatyzowany, bez angażowania urzędników i bez konieczności podejmowania przez podatnika dodatkowych formalnych czynności. Ponadto, znacząco zmniejsza obciążenia pracą administracji podatkowej.</w:t>
      </w:r>
    </w:p>
    <w:p w14:paraId="10EEF1A3"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Automatyzacja procesu pozwoli skierować zasoby kadrowe, które obecnie analizują wnioski, weryfikują przesłanki i przygotowują dokumenty na bardziej złożone zadania merytoryczne, przynosząc oszczędności organizacyjne i kosztowe.</w:t>
      </w:r>
    </w:p>
    <w:p w14:paraId="39B8A84C"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Projektowane rozwiązanie stanowi zatem nie tylko odpowiedź na realne potrzeby podatników wynikające z rosnących oczekiwań w zakresie cyfryzacji usług publicznych, ale także umożliwia sprawniejsze, bardziej efektywne wykorzystanie zasobów administracji publicznej. Jest to naturalny i konieczny kierunek rozwoju nowoczesnego państwa oraz jeden z kluczowych elementów budowy cyfrowych, zautomatyzowanych usług Krajowej Administracji Skarbowej.</w:t>
      </w:r>
    </w:p>
    <w:p w14:paraId="7C1D3A48"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 xml:space="preserve">Projekt zakłada uregulowanie w Ordynacji podatkowej zasad dokonywania korekt ksiąg podatkowych, które zostały przesłane organowi podatkowemu za pomocą środków komunikacji elektronicznej, w postaci elektronicznej, bez wezwania organu podatkowego, jednolitych dla wszystkich podatków, przy jednoczesnych zmianach dostosowawczych w ustawie z dnia 10 września 1999 r. – Kodeks karny skarbowy (Dz. U. z 2025 r. poz. 633, z </w:t>
      </w:r>
      <w:proofErr w:type="spellStart"/>
      <w:r w:rsidRPr="0068737A">
        <w:rPr>
          <w:rFonts w:ascii="Arial" w:eastAsia="Calibri" w:hAnsi="Arial" w:cs="Arial"/>
        </w:rPr>
        <w:t>późn</w:t>
      </w:r>
      <w:proofErr w:type="spellEnd"/>
      <w:r w:rsidRPr="0068737A">
        <w:rPr>
          <w:rFonts w:ascii="Arial" w:eastAsia="Calibri" w:hAnsi="Arial" w:cs="Arial"/>
        </w:rPr>
        <w:t xml:space="preserve">. zm.), w ustawie o VAT oraz w ustawie z dnia 16 listopada 2016 r. o Krajowej Administracji Skarbowej (Dz. U. z 2025 r. poz. 1131, z </w:t>
      </w:r>
      <w:proofErr w:type="spellStart"/>
      <w:r w:rsidRPr="0068737A">
        <w:rPr>
          <w:rFonts w:ascii="Arial" w:eastAsia="Calibri" w:hAnsi="Arial" w:cs="Arial"/>
        </w:rPr>
        <w:t>późn</w:t>
      </w:r>
      <w:proofErr w:type="spellEnd"/>
      <w:r w:rsidRPr="0068737A">
        <w:rPr>
          <w:rFonts w:ascii="Arial" w:eastAsia="Calibri" w:hAnsi="Arial" w:cs="Arial"/>
        </w:rPr>
        <w:t xml:space="preserve">. zm.). Ułatwi to realizację obowiązków związanych z przesyłaniem ksiąg podatkowych (JPK). </w:t>
      </w:r>
    </w:p>
    <w:p w14:paraId="0851D1B9"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Wprowadzone zostaną przepisy regulujące zasady dokonywania korekt ksiąg podatkowych w dwóch przypadkach (analogicznie do aktualnych regulacji zawartych w ustawie o VAT), tj.:</w:t>
      </w:r>
    </w:p>
    <w:p w14:paraId="45E75988" w14:textId="77777777" w:rsidR="0068737A" w:rsidRPr="0068737A" w:rsidRDefault="0068737A" w:rsidP="0068737A">
      <w:pPr>
        <w:pStyle w:val="Akapitzlist"/>
        <w:numPr>
          <w:ilvl w:val="0"/>
          <w:numId w:val="6"/>
        </w:numPr>
        <w:spacing w:after="0" w:line="300" w:lineRule="auto"/>
        <w:jc w:val="both"/>
        <w:rPr>
          <w:rFonts w:ascii="Arial" w:eastAsia="Calibri" w:hAnsi="Arial" w:cs="Arial"/>
        </w:rPr>
      </w:pPr>
      <w:r w:rsidRPr="0068737A">
        <w:rPr>
          <w:rFonts w:ascii="Arial" w:eastAsia="Calibri" w:hAnsi="Arial" w:cs="Arial"/>
        </w:rPr>
        <w:t>gdy podatnik sam zidentyfikuje nieścisłość w złożonej księdze podatkowej, oraz</w:t>
      </w:r>
    </w:p>
    <w:p w14:paraId="5762A081" w14:textId="77777777" w:rsidR="0068737A" w:rsidRPr="0068737A" w:rsidRDefault="0068737A" w:rsidP="0068737A">
      <w:pPr>
        <w:pStyle w:val="Akapitzlist"/>
        <w:numPr>
          <w:ilvl w:val="0"/>
          <w:numId w:val="6"/>
        </w:numPr>
        <w:spacing w:after="0" w:line="300" w:lineRule="auto"/>
        <w:jc w:val="both"/>
        <w:rPr>
          <w:rFonts w:ascii="Arial" w:eastAsia="Calibri" w:hAnsi="Arial" w:cs="Arial"/>
        </w:rPr>
      </w:pPr>
      <w:r w:rsidRPr="0068737A">
        <w:rPr>
          <w:rFonts w:ascii="Arial" w:eastAsia="Calibri" w:hAnsi="Arial" w:cs="Arial"/>
        </w:rPr>
        <w:t>gdy błąd zostanie dostrzeżony przez organ podatkowy w toczącej się procedurze podatkowej.</w:t>
      </w:r>
    </w:p>
    <w:p w14:paraId="7DB4567E"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 xml:space="preserve">W pierwszym przypadku podmioty prowadzące księgi podatkowe w postaci elektronicznej, obowiązane do ich przesłania bez wezwania przez organ podatkowy, będą mogły skorygować </w:t>
      </w:r>
      <w:r w:rsidRPr="0068737A">
        <w:rPr>
          <w:rFonts w:ascii="Arial" w:eastAsia="Calibri" w:hAnsi="Arial" w:cs="Arial"/>
        </w:rPr>
        <w:lastRenderedPageBreak/>
        <w:t xml:space="preserve">uprzednio przesłane księgi podatkowe, jeżeli odrębne przepisy będą dopuszczały możliwość poprawienia zapisów w prowadzonej księdze podatkowej. </w:t>
      </w:r>
    </w:p>
    <w:p w14:paraId="0A67139E"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Uprawnienie to będzie mogło zostać zrealizowane po spełnieniu następujących warunków, tj. gdy:</w:t>
      </w:r>
    </w:p>
    <w:p w14:paraId="2F6840FB" w14:textId="77777777" w:rsidR="0068737A" w:rsidRPr="0068737A" w:rsidRDefault="0068737A" w:rsidP="0068737A">
      <w:pPr>
        <w:pStyle w:val="Akapitzlist"/>
        <w:numPr>
          <w:ilvl w:val="0"/>
          <w:numId w:val="7"/>
        </w:numPr>
        <w:spacing w:after="0" w:line="300" w:lineRule="auto"/>
        <w:jc w:val="both"/>
        <w:rPr>
          <w:rFonts w:ascii="Arial" w:eastAsia="Calibri" w:hAnsi="Arial" w:cs="Arial"/>
        </w:rPr>
      </w:pPr>
      <w:r w:rsidRPr="0068737A">
        <w:rPr>
          <w:rFonts w:ascii="Arial" w:eastAsia="Calibri" w:hAnsi="Arial" w:cs="Arial"/>
        </w:rPr>
        <w:t>odrębne przepisy dopuszczają możliwość poprawienia zapisów w księdze podatkowej,</w:t>
      </w:r>
    </w:p>
    <w:p w14:paraId="4D91B9F2" w14:textId="77777777" w:rsidR="0068737A" w:rsidRPr="0068737A" w:rsidRDefault="0068737A" w:rsidP="0068737A">
      <w:pPr>
        <w:pStyle w:val="Akapitzlist"/>
        <w:numPr>
          <w:ilvl w:val="0"/>
          <w:numId w:val="7"/>
        </w:numPr>
        <w:spacing w:after="0" w:line="300" w:lineRule="auto"/>
        <w:jc w:val="both"/>
        <w:rPr>
          <w:rFonts w:ascii="Arial" w:eastAsia="Calibri" w:hAnsi="Arial" w:cs="Arial"/>
        </w:rPr>
      </w:pPr>
      <w:r w:rsidRPr="0068737A">
        <w:rPr>
          <w:rFonts w:ascii="Arial" w:eastAsia="Calibri" w:hAnsi="Arial" w:cs="Arial"/>
        </w:rPr>
        <w:t>księga podatkowa, której dotyczy korekta, jest prowadzona w postaci elektronicznej, oraz</w:t>
      </w:r>
    </w:p>
    <w:p w14:paraId="6A974DCE" w14:textId="77777777" w:rsidR="0068737A" w:rsidRPr="0068737A" w:rsidRDefault="0068737A" w:rsidP="0068737A">
      <w:pPr>
        <w:pStyle w:val="Akapitzlist"/>
        <w:numPr>
          <w:ilvl w:val="0"/>
          <w:numId w:val="7"/>
        </w:numPr>
        <w:spacing w:after="0" w:line="300" w:lineRule="auto"/>
        <w:jc w:val="both"/>
        <w:rPr>
          <w:rFonts w:ascii="Arial" w:eastAsia="Calibri" w:hAnsi="Arial" w:cs="Arial"/>
        </w:rPr>
      </w:pPr>
      <w:r w:rsidRPr="0068737A">
        <w:rPr>
          <w:rFonts w:ascii="Arial" w:eastAsia="Calibri" w:hAnsi="Arial" w:cs="Arial"/>
        </w:rPr>
        <w:t xml:space="preserve">księga podatkowa, której dotyczy korekta, została przesłana organowi podatkowemu w następstwie obowiązku wynikającego z przepisów odrębnych, nie zaś na wezwanie organu podatkowego. </w:t>
      </w:r>
    </w:p>
    <w:p w14:paraId="4990D052"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Przesyłanie korygującej księgi podatkowej będzie odbywało się na zasadach dotyczących przesyłania ksiąg podatkowych. Zatem, w tym zakresie, zastosowanie znajdą przepisy szczególne, właściwe dla ksiąg podatkowych w ramach danego podatku.</w:t>
      </w:r>
    </w:p>
    <w:p w14:paraId="5394B6A0"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Uprawnienie będzie ulegało zawieszeniu na czas trwania postępowania podatkowego lub kontroli podatkowej, a także postępowania podatkowego przekształconego z zakończonej kontroli celno-skarbowej, o którym mowa w art. 83 ustawy o KAS. Zawieszenie przedmiotowego uprawnienia będzie dotyczyło tylko ksiąg podatkowych objętych danym postępowaniem lub kontrolą, a więc ksiąg podatkowych obejmujących podatki i okresy, które zostały wskazane w postanowieniu o wszczęciu postępowania podatkowego lub w upoważnieniu do przeprowadzenia kontroli podatkowej. Dodatkowo, analogicznie jak w przypadku uprawnienia do złożenia korekty deklaracji, uprawnienie to zostanie ograniczone w trakcie kontroli celno-skarbowej, tj. będzie przysługiwało jedynie w terminie 14 dni od dnia doręczenia upoważnienia do przeprowadzenia kontroli celno-skarbowej oraz po zakończeniu kontroli celno-skarbowej stwierdzającej nieprawidłowości, tj. nie będzie przysługiwało po upływie 14 dni od dnia doręczenia wyniku kontroli celno-skarbowej, a przed doręczeniem postanowienia o przekształceniu zakończonej kontroli celno-skarbowej w postępowanie podatkowe.</w:t>
      </w:r>
    </w:p>
    <w:p w14:paraId="0B2EF3FE"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Regulacje zostaną zamieszczone w rozdziale 10 działu III Ordynacji podatkowej. Tym samym w jednym rozdziale zostaną zamieszczone regulacje dotyczące korekt deklaracji i ksiąg podatkowych.</w:t>
      </w:r>
    </w:p>
    <w:p w14:paraId="2352FEEA"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Drugi z wyżej wymienionych przypadków będzie odnosił się do sytuacji, w której to organ podatkowy zidentyfikuje błąd w prowadzonej w postaci elektronicznej księdze podatkowej przesłanej bez wezwania organu podatkowego, i wezwie do skorygowania złożonej księgi. Wówczas wezwany będzie miał 14 dni, liczonych od dnia doręczenia wezwania, na przesłanie do organu podatkowego księgi podatkowej skorygowanej w zakresie błędów wskazanych w wezwaniu lub złożenie do organu podatkowego wyjaśnienia wskazującego, że księga nie zawiera tych błędów, lub złożenie do organu podatkowego wyjaśnienia wskazującego na brak możliwości skorygowania księgi podatkowej ze względu na ostateczne zamknięcie księgi podatkowej, co będzie wynikało z przepisów odrębnych (np. przepisy ustawy z dnia 29 września 1994 r. o rachunkowości).</w:t>
      </w:r>
    </w:p>
    <w:p w14:paraId="420A0DDB"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 xml:space="preserve">Regulacja zostanie zamieszczona w Dziale IV "Postępowanie podatkowe" w Rozdziale 11 "Dowody" Ordynacji podatkowej i będzie stosowany odpowiednio również w  czynnościach sprawdzających oraz w postępowaniu podatkowym przekształconym z zakończonej kontroli celno-skarbowej, o którym mowa w art. 83 ustawy o KAS. Natomiast na etapie trwania kontroli </w:t>
      </w:r>
      <w:r w:rsidRPr="0068737A">
        <w:rPr>
          <w:rFonts w:ascii="Arial" w:eastAsia="Calibri" w:hAnsi="Arial" w:cs="Arial"/>
        </w:rPr>
        <w:lastRenderedPageBreak/>
        <w:t>podatkowej lub kontroli celno-skarbowej organ podatkowy nie będzie mógł wezwać do skorygowania złożonej księgi podatkowej.</w:t>
      </w:r>
    </w:p>
    <w:p w14:paraId="16C262E7" w14:textId="77777777" w:rsidR="0068737A" w:rsidRPr="0068737A" w:rsidRDefault="0068737A" w:rsidP="0068737A">
      <w:pPr>
        <w:spacing w:after="0" w:line="300" w:lineRule="auto"/>
        <w:jc w:val="both"/>
        <w:rPr>
          <w:rFonts w:ascii="Arial" w:eastAsia="Calibri" w:hAnsi="Arial" w:cs="Arial"/>
        </w:rPr>
      </w:pPr>
      <w:r w:rsidRPr="0068737A">
        <w:rPr>
          <w:rFonts w:ascii="Arial" w:eastAsia="Calibri" w:hAnsi="Arial" w:cs="Arial"/>
        </w:rPr>
        <w:t xml:space="preserve">Projekt wprowadza podstawę prawną do automatycznego udostępniania podatnikom (płatnikom), w tym przedsiębiorcom, w systemie teleinformatycznym organu Krajowej Administracji Skarbowej danych tych podmiotów, będących użytkownikami systemu teleinformatycznego Krajowej Administracji Skarbowej. Udostępnianie dotyczy danych zawartych w Centralnym Rejestrze Danych Podatkowych. Projektowana regulacja nie określa szczegółowego zakresu danych, które będą mogły być udostępniane, bowiem będzie on zależeć od możliwości systemów teleinformatycznych oraz decyzji poszczególnych organów administrujących tymi systemami. Ponieważ dane te dotyczą samego podatnika (płatnika), nie ma również ograniczeń co do danych podlegających udostępnieniu. Ponadto, projekt nie przewiduje konieczności określenia celu udostępnienia danych – użytkownik konta sam decyduje, czy i komu oraz w jakim zakresie udostępni uzyskane od organu dane lub w jaki inny sposób je wykorzysta. Istotą proponowanego rozwiązania jest udostępnianie w pełni generowanych automatycznie danych, które o podatniku (płatniku) posada organ podatkowy w swoich systemach teleinformatycznych i potwierdzenie tego w wygenerowanym dokumencie w postaci elektronicznej. Udostępnianie danych w tego typu usłudze oznacza brak konieczności zaangażowania czynnika ludzkiego w cały proces. W przypadku braku możliwości wydania poświadczenia wnioskodawca otrzyma za pośrednictwem konta w systemie teleinformatycznym organu Krajowej Administracji Skarbowej informację o braku możliwości automatycznego potwierdzenia tych danych. W takim przypadku wnioskodawca będzie mógł wystąpić o wydanie zaświadczenia na podstawie art. 306a Ordynacji podatkowej. </w:t>
      </w:r>
    </w:p>
    <w:p w14:paraId="064CAA37" w14:textId="3A58F150" w:rsidR="0068737A" w:rsidRPr="0068737A" w:rsidRDefault="0068737A" w:rsidP="0068737A">
      <w:pPr>
        <w:spacing w:after="0" w:line="300" w:lineRule="auto"/>
        <w:jc w:val="both"/>
        <w:rPr>
          <w:rFonts w:ascii="Arial" w:hAnsi="Arial" w:cs="Arial"/>
        </w:rPr>
      </w:pPr>
      <w:r w:rsidRPr="0068737A">
        <w:rPr>
          <w:rFonts w:ascii="Arial" w:eastAsia="Calibri" w:hAnsi="Arial" w:cs="Arial"/>
        </w:rPr>
        <w:t>Regulacja zostanie zamieszczona w dziale VIIIA „Zaświadczenia”.</w:t>
      </w:r>
    </w:p>
    <w:p w14:paraId="5D81DB95" w14:textId="77777777" w:rsidR="005607A6" w:rsidRDefault="005607A6" w:rsidP="005607A6">
      <w:pPr>
        <w:spacing w:after="0" w:line="300" w:lineRule="auto"/>
        <w:jc w:val="both"/>
        <w:rPr>
          <w:rFonts w:ascii="Arial" w:hAnsi="Arial" w:cs="Arial"/>
        </w:rPr>
      </w:pPr>
    </w:p>
    <w:p w14:paraId="266A80B8" w14:textId="77777777" w:rsidR="0068737A" w:rsidRPr="0068737A" w:rsidRDefault="0068737A" w:rsidP="0068737A">
      <w:pPr>
        <w:spacing w:after="0" w:line="300" w:lineRule="auto"/>
        <w:jc w:val="both"/>
        <w:rPr>
          <w:rFonts w:ascii="Arial" w:hAnsi="Arial" w:cs="Arial"/>
        </w:rPr>
      </w:pPr>
      <w:r w:rsidRPr="0068737A">
        <w:rPr>
          <w:rFonts w:ascii="Arial" w:hAnsi="Arial" w:cs="Arial"/>
        </w:rPr>
        <w:t>Przedmiotowy projekt aktu prawnego wraz z Uzasadnieniem oraz Oceną Skutków Regulacji dostępny jest na stronach Rządowego Centrum Legislacji pod adresem:</w:t>
      </w:r>
    </w:p>
    <w:p w14:paraId="7E424B09" w14:textId="6424019B" w:rsidR="0068737A" w:rsidRDefault="0068737A" w:rsidP="0068737A">
      <w:pPr>
        <w:spacing w:after="0" w:line="300" w:lineRule="auto"/>
        <w:jc w:val="both"/>
        <w:rPr>
          <w:rFonts w:ascii="Arial" w:hAnsi="Arial" w:cs="Arial"/>
        </w:rPr>
      </w:pPr>
      <w:hyperlink r:id="rId6" w:history="1">
        <w:r w:rsidRPr="005B6167">
          <w:rPr>
            <w:rStyle w:val="Hipercze"/>
            <w:rFonts w:ascii="Arial" w:hAnsi="Arial" w:cs="Arial"/>
          </w:rPr>
          <w:t>https://legislacja.rcl.gov.pl/projekt/12410653/katalog/1</w:t>
        </w:r>
        <w:r w:rsidRPr="005B6167">
          <w:rPr>
            <w:rStyle w:val="Hipercze"/>
            <w:rFonts w:ascii="Arial" w:hAnsi="Arial" w:cs="Arial"/>
          </w:rPr>
          <w:t>3</w:t>
        </w:r>
        <w:r w:rsidRPr="005B6167">
          <w:rPr>
            <w:rStyle w:val="Hipercze"/>
            <w:rFonts w:ascii="Arial" w:hAnsi="Arial" w:cs="Arial"/>
          </w:rPr>
          <w:t>205887#13205887</w:t>
        </w:r>
      </w:hyperlink>
      <w:r>
        <w:rPr>
          <w:rFonts w:ascii="Arial" w:hAnsi="Arial" w:cs="Arial"/>
        </w:rPr>
        <w:t xml:space="preserve"> </w:t>
      </w:r>
    </w:p>
    <w:p w14:paraId="62FCD1B5" w14:textId="77777777" w:rsidR="005607A6" w:rsidRDefault="005607A6" w:rsidP="005607A6">
      <w:pPr>
        <w:spacing w:after="0" w:line="300" w:lineRule="auto"/>
        <w:jc w:val="both"/>
        <w:rPr>
          <w:rFonts w:ascii="Arial" w:hAnsi="Arial" w:cs="Arial"/>
        </w:rPr>
      </w:pPr>
    </w:p>
    <w:p w14:paraId="2CD3C4DA" w14:textId="4D834ADC" w:rsidR="001010CE" w:rsidRDefault="001010CE" w:rsidP="005607A6">
      <w:pPr>
        <w:spacing w:after="0" w:line="300" w:lineRule="auto"/>
        <w:jc w:val="both"/>
        <w:rPr>
          <w:rFonts w:ascii="Arial" w:hAnsi="Arial" w:cs="Arial"/>
        </w:rPr>
      </w:pPr>
      <w:r w:rsidRPr="001010CE">
        <w:rPr>
          <w:rFonts w:ascii="Arial" w:hAnsi="Arial" w:cs="Arial"/>
        </w:rPr>
        <w:t>Projekt jest obecnie jednocześnie na etapie uzgodnień, konsultacji publicznych i opiniowania.</w:t>
      </w:r>
    </w:p>
    <w:p w14:paraId="7D4F397D" w14:textId="77777777" w:rsidR="001010CE" w:rsidRPr="005607A6" w:rsidRDefault="001010CE" w:rsidP="005607A6">
      <w:pPr>
        <w:spacing w:after="0" w:line="300" w:lineRule="auto"/>
        <w:jc w:val="both"/>
        <w:rPr>
          <w:rFonts w:ascii="Arial" w:hAnsi="Arial" w:cs="Arial"/>
        </w:rPr>
      </w:pPr>
    </w:p>
    <w:p w14:paraId="79642354" w14:textId="5B56BE43" w:rsidR="000B5F44" w:rsidRPr="001967C3" w:rsidRDefault="001967C3" w:rsidP="005607A6">
      <w:pPr>
        <w:pStyle w:val="Akapitzlist"/>
        <w:numPr>
          <w:ilvl w:val="0"/>
          <w:numId w:val="3"/>
        </w:numPr>
        <w:spacing w:after="0" w:line="300" w:lineRule="auto"/>
        <w:jc w:val="both"/>
        <w:rPr>
          <w:rFonts w:ascii="Arial" w:hAnsi="Arial" w:cs="Arial"/>
          <w:b/>
          <w:bCs/>
          <w:u w:val="single"/>
        </w:rPr>
      </w:pPr>
      <w:r w:rsidRPr="001967C3">
        <w:rPr>
          <w:rFonts w:ascii="Arial" w:hAnsi="Arial" w:cs="Arial"/>
          <w:b/>
          <w:bCs/>
          <w:u w:val="single"/>
        </w:rPr>
        <w:t>P</w:t>
      </w:r>
      <w:r w:rsidRPr="001967C3">
        <w:rPr>
          <w:rFonts w:ascii="Arial" w:hAnsi="Arial" w:cs="Arial"/>
          <w:b/>
          <w:bCs/>
          <w:u w:val="single"/>
        </w:rPr>
        <w:t>rojekt ustawy o zmianie ustawy o zapasach ropy naftowej, produktów naftowych i gazu ziemnego oraz zasadach postępowania w sytuacjach zagrożenia bezpieczeństwa paliwowego państwa i zakłóceń na rynku naftowym oraz ustawy – Prawo energetyczne (UD399).</w:t>
      </w:r>
    </w:p>
    <w:p w14:paraId="11AC52F7" w14:textId="77777777" w:rsidR="000B5F44" w:rsidRDefault="000B5F44" w:rsidP="000B5F44">
      <w:pPr>
        <w:spacing w:after="0" w:line="300" w:lineRule="auto"/>
        <w:jc w:val="both"/>
        <w:rPr>
          <w:rFonts w:ascii="Arial" w:hAnsi="Arial" w:cs="Arial"/>
        </w:rPr>
      </w:pPr>
    </w:p>
    <w:p w14:paraId="2AF4C465" w14:textId="77777777" w:rsidR="001967C3" w:rsidRPr="001967C3" w:rsidRDefault="001967C3" w:rsidP="001967C3">
      <w:pPr>
        <w:spacing w:after="0" w:line="300" w:lineRule="auto"/>
        <w:jc w:val="both"/>
        <w:rPr>
          <w:rFonts w:ascii="Arial" w:hAnsi="Arial" w:cs="Arial"/>
        </w:rPr>
      </w:pPr>
      <w:r w:rsidRPr="001967C3">
        <w:rPr>
          <w:rFonts w:ascii="Arial" w:hAnsi="Arial" w:cs="Arial"/>
        </w:rPr>
        <w:t xml:space="preserve">System zapasów interwencyjnych ropy naftowej i paliw w Polsce, obejmujący: (1) zapasy obowiązkowe ropy naftowej lub paliw, tworzone i utrzymywane przez producentów i handlowców, (2) zapasy agencyjne ropy naftowej i paliw, tworzone i utrzymywane przez Rządową Agencję Rezerw Strategicznych (dalej jako: RARS), funkcjonuje na podstawie przepisów ustawy z dnia 16 lutego 2007 r. o zapasach ropy naftowej, produktów naftowych i gazu ziemnego oraz zasadach postępowania w sytuacjach zagrożenia bezpieczeństwa paliwowego państwa i zakłóceń na rynku naftowym (Dz. U. z 2026 r. poz. 599), dalej jako: ustawa o zapasach. Ustawa ta, od czasu wejścia w życie, była wielokrotnie nowelizowana, a w konsekwencji zmieniał się również system zapasów interwencyjnych. Tym niemniej – </w:t>
      </w:r>
      <w:r w:rsidRPr="001967C3">
        <w:rPr>
          <w:rFonts w:ascii="Arial" w:hAnsi="Arial" w:cs="Arial"/>
        </w:rPr>
        <w:lastRenderedPageBreak/>
        <w:t xml:space="preserve">pomimo upływu wielu lat, a także radykalnych zmian na rynku ropy naftowej i paliw w Polsce i Europie, jakie nastąpiły przez prawie 20 lat obowiązywania uchwalonych w 2007 r. przepisów ustawy o zapasach – nie można przyjąć, że dotychczasowe nowelizacje tej ustawy były rozwiązaniami całościowymi, a w konsekwencji – że w sposób kompleksowy uszczelniały system zapasów interwencyjnych i dostosowywały go do współczesnych wyzwań i oczekiwań rynku. </w:t>
      </w:r>
    </w:p>
    <w:p w14:paraId="0B1F1C9A" w14:textId="77777777" w:rsidR="001967C3" w:rsidRPr="001967C3" w:rsidRDefault="001967C3" w:rsidP="001967C3">
      <w:pPr>
        <w:spacing w:after="0" w:line="300" w:lineRule="auto"/>
        <w:jc w:val="both"/>
        <w:rPr>
          <w:rFonts w:ascii="Arial" w:hAnsi="Arial" w:cs="Arial"/>
        </w:rPr>
      </w:pPr>
      <w:r w:rsidRPr="001967C3">
        <w:rPr>
          <w:rFonts w:ascii="Arial" w:hAnsi="Arial" w:cs="Arial"/>
        </w:rPr>
        <w:t xml:space="preserve">Celem projektu ustawy jest uporządkowanie oraz zwiększenie przejrzystości, przewidywalności i proporcjonalności regulacji związanych z tworzeniem i utrzymywaniem zapasów interwencyjnych ropy naftowej i paliw. Projekt ustawy jest reakcją na postulaty uczestników rynku ropy naftowej i paliw w tym zakresie. Dotyczyły one w szczególności doprecyzowania zasad powstawania obowiązku tworzenia zapasów obowiązkowych i realizacji obowiązku ich utrzymywania, a także uszczelnienia mechanizmów wychodzenia z systemu zapasów interwencyjnych oraz zwiększenia roli RARS w tym systemie (m.in. przez zwiększenie elastyczności zarządzania zapasami agencyjnymi). Na potrzebę zmian wskazują także doświadczenia wynikające z monitorowania dotychczasowego działania rynku naftowego oraz paliwowego, inne uwagi zgłoszone przez sektor paliwowy i naftowy, a także wiedza operacyjna. </w:t>
      </w:r>
    </w:p>
    <w:p w14:paraId="4399057B" w14:textId="77777777" w:rsidR="001967C3" w:rsidRPr="001967C3" w:rsidRDefault="001967C3" w:rsidP="001967C3">
      <w:pPr>
        <w:spacing w:after="0" w:line="300" w:lineRule="auto"/>
        <w:jc w:val="both"/>
        <w:rPr>
          <w:rFonts w:ascii="Arial" w:hAnsi="Arial" w:cs="Arial"/>
        </w:rPr>
      </w:pPr>
      <w:r w:rsidRPr="001967C3">
        <w:rPr>
          <w:rFonts w:ascii="Arial" w:hAnsi="Arial" w:cs="Arial"/>
        </w:rPr>
        <w:t>Prowadzony monitoring dotychczasowego działania rynku paliwowego wykazał, że obowiązujące przepisy ustawy o zapasach nie zapobiegają zjawisku polegającemu na omijaniu obowiązków w zakresie zapasów obowiązkowych ropy naftowej lub paliw przez przedsiębiorców dzięki równoległemu funkcjonowaniu kilku podmiotów z jednym profilem właścicielskim, które – kolejno po sobie – podejmują działalność gospodarczą, w wyniku której powstają obowiązki w zakresie zapasów obowiązkowych ropy naftowej lub paliw, a następnie zaprzestają tej działalności tuż przed momentem, kiedy musiałyby utworzyć te zapasy obowiązkowe w sposób trwały i ponosić koszty ich utrzymywania. W ten sposób dany przedsiębiorca – prowadząc działalność na rynku paliwowym – skutecznie omija realizację obowiązków i ponoszenie kosztów związanych z tworzeniem i utrzymywaniem tych zapasów obowiązkowych. Prowadzi to do rozregulowania rynku i zaburza konkurencję.</w:t>
      </w:r>
    </w:p>
    <w:p w14:paraId="607408BD" w14:textId="77777777" w:rsidR="001967C3" w:rsidRPr="001967C3" w:rsidRDefault="001967C3" w:rsidP="001967C3">
      <w:pPr>
        <w:spacing w:after="0" w:line="300" w:lineRule="auto"/>
        <w:jc w:val="both"/>
        <w:rPr>
          <w:rFonts w:ascii="Arial" w:hAnsi="Arial" w:cs="Arial"/>
        </w:rPr>
      </w:pPr>
      <w:r w:rsidRPr="001967C3">
        <w:rPr>
          <w:rFonts w:ascii="Arial" w:hAnsi="Arial" w:cs="Arial"/>
        </w:rPr>
        <w:t xml:space="preserve">Projekt w szerokim zakresie porządkuje oraz zwiększa przejrzystość, przewidywalność i proporcjonalność regulacji związanych z obowiązkiem tworzenia i utrzymywania zapasów obowiązkowych ropy naftowej lub paliw. Propozycje obejmują doprecyzowanie zasad powstawania obowiązku tworzenia i utrzymywania zapasów obowiązkowych, w tym zmianę warunków rozpoczynania działalności w zakresie paliw ciekłych wraz z szerokim pakietem rozwiązań eliminujących zjawisko polegające na omijaniu obowiązków w zakresie zapasów obowiązkowych przez przedsiębiorców dzięki równoległemu funkcjonowaniu kilku podmiotów z jednym profilem właścicielskim, które – kolejno po sobie – podejmują działalność, w wyniku której powstają obowiązki w zakresie zapasów obowiązkowych, a następnie zaprzestają tej działalności tuż przed momentem, kiedy musiałyby utworzyć zapasy obowiązkowe w sposób trwały i ponosić koszty ich utrzymywania. Propozycje obejmują ponadto zmiany w przepisach dotyczących koncesji oraz Rejestru Systemu Zapasów Interwencyjnych (dalej jako: RSZI). Konsekwencją niektórych proponowanych rozwiązań są zmiany w przepisach dotyczących kar pieniężnych. </w:t>
      </w:r>
    </w:p>
    <w:p w14:paraId="5E801852" w14:textId="77777777" w:rsidR="001967C3" w:rsidRPr="001967C3" w:rsidRDefault="001967C3" w:rsidP="001967C3">
      <w:pPr>
        <w:spacing w:after="0" w:line="300" w:lineRule="auto"/>
        <w:jc w:val="both"/>
        <w:rPr>
          <w:rFonts w:ascii="Arial" w:hAnsi="Arial" w:cs="Arial"/>
        </w:rPr>
      </w:pPr>
      <w:r w:rsidRPr="001967C3">
        <w:rPr>
          <w:rFonts w:ascii="Arial" w:hAnsi="Arial" w:cs="Arial"/>
        </w:rPr>
        <w:t xml:space="preserve">Proponowane nowe rozwiązania obejmują: </w:t>
      </w:r>
    </w:p>
    <w:p w14:paraId="5B0E3DCC" w14:textId="4F13C386" w:rsidR="001967C3" w:rsidRPr="001967C3" w:rsidRDefault="001967C3" w:rsidP="001967C3">
      <w:pPr>
        <w:pStyle w:val="Akapitzlist"/>
        <w:numPr>
          <w:ilvl w:val="0"/>
          <w:numId w:val="8"/>
        </w:numPr>
        <w:spacing w:after="0" w:line="300" w:lineRule="auto"/>
        <w:jc w:val="both"/>
        <w:rPr>
          <w:rFonts w:ascii="Arial" w:hAnsi="Arial" w:cs="Arial"/>
        </w:rPr>
      </w:pPr>
      <w:r w:rsidRPr="001967C3">
        <w:rPr>
          <w:rFonts w:ascii="Arial" w:hAnsi="Arial" w:cs="Arial"/>
        </w:rPr>
        <w:lastRenderedPageBreak/>
        <w:t xml:space="preserve">„Funkcjonowanie” pierwszego roku wykonywania działalności w zakresie paliw oraz obowiązku tworzenia zapasów obowiązkowych i związanego z nim obowiązku ich utrzymywania. Zgodnie z założeniem, przedsiębiorcy rozpoczynający działalność w zakresie paliw będą zobligowani do tworzenia zapasów obowiązkowych oraz ponoszenia opłaty zapasowej narastająco od pierwszej jednostki produktu objętego obowiązkiem. Projektowana regulacja wyeliminuje możliwość strategicznego rozkładania wolumenów w czasie w celu ograniczania obowiązków w zakresie zapasów obowiązkowych, uniemożliwi uzyskiwanie dodatkowych korzyści finansowych wynikających z czasowego nietworzenia tych zapasów oraz zapewni wyrównanie warunków konkurencji, w szczególności między importerami. </w:t>
      </w:r>
    </w:p>
    <w:p w14:paraId="4C659C71" w14:textId="1C4D6D43" w:rsidR="001967C3" w:rsidRPr="001967C3" w:rsidRDefault="001967C3" w:rsidP="001967C3">
      <w:pPr>
        <w:pStyle w:val="Akapitzlist"/>
        <w:numPr>
          <w:ilvl w:val="0"/>
          <w:numId w:val="8"/>
        </w:numPr>
        <w:spacing w:after="0" w:line="300" w:lineRule="auto"/>
        <w:jc w:val="both"/>
        <w:rPr>
          <w:rFonts w:ascii="Arial" w:hAnsi="Arial" w:cs="Arial"/>
        </w:rPr>
      </w:pPr>
      <w:r w:rsidRPr="001967C3">
        <w:rPr>
          <w:rFonts w:ascii="Arial" w:hAnsi="Arial" w:cs="Arial"/>
        </w:rPr>
        <w:t xml:space="preserve">Wydłużenie okresu utrzymywania zapasów obowiązkowych przez przedsiębiorców zobowiązanych, którzy zawieszają lub trwale kończą działalność na rynku paliwowym, z możliwością zwrócenia się do RARS o odkupienie od tych przedsiębiorców paliw utrzymywanych jako zapasy obowiązkowe, w celu ochrony systemu zapasów interwencyjnych przed nagłymi zmianami poziomu utrzymywanych zapasów interwencyjnych ogółem. </w:t>
      </w:r>
    </w:p>
    <w:p w14:paraId="712F7304" w14:textId="12744939" w:rsidR="001967C3" w:rsidRPr="001967C3" w:rsidRDefault="001967C3" w:rsidP="001967C3">
      <w:pPr>
        <w:pStyle w:val="Akapitzlist"/>
        <w:numPr>
          <w:ilvl w:val="0"/>
          <w:numId w:val="8"/>
        </w:numPr>
        <w:spacing w:after="0" w:line="300" w:lineRule="auto"/>
        <w:jc w:val="both"/>
        <w:rPr>
          <w:rFonts w:ascii="Arial" w:hAnsi="Arial" w:cs="Arial"/>
        </w:rPr>
      </w:pPr>
      <w:r w:rsidRPr="001967C3">
        <w:rPr>
          <w:rFonts w:ascii="Arial" w:hAnsi="Arial" w:cs="Arial"/>
        </w:rPr>
        <w:t xml:space="preserve">Zmiany dotyczące postępowania w sprawie wykreślenia przez Prezesa RARS przedsiębiorcy z RSZI, w tym doprecyzowanie lub uzupełnienie katalogu przesłanek wykreślenia, wprowadzenie mechanizmu obligatoryjnej kontroli przeprowadzanej przez Prezesa RARS przed wykreśleniem przedsiębiorcy z RSZI, a także przyznanie Prezesowi RARS uprawnienia do oceny wniosku o wykreślenie z RSZI. </w:t>
      </w:r>
    </w:p>
    <w:p w14:paraId="445C43BC" w14:textId="7B53A31B" w:rsidR="001967C3" w:rsidRPr="001967C3" w:rsidRDefault="001967C3" w:rsidP="001967C3">
      <w:pPr>
        <w:pStyle w:val="Akapitzlist"/>
        <w:numPr>
          <w:ilvl w:val="0"/>
          <w:numId w:val="8"/>
        </w:numPr>
        <w:spacing w:after="0" w:line="300" w:lineRule="auto"/>
        <w:jc w:val="both"/>
        <w:rPr>
          <w:rFonts w:ascii="Arial" w:hAnsi="Arial" w:cs="Arial"/>
        </w:rPr>
      </w:pPr>
      <w:r w:rsidRPr="001967C3">
        <w:rPr>
          <w:rFonts w:ascii="Arial" w:hAnsi="Arial" w:cs="Arial"/>
        </w:rPr>
        <w:t xml:space="preserve">Wprowadzenie mechanizmu zapobiegającego realizacji zamiaru trwałego zakończenia działalności gospodarczej w zakresie paliw przez przedsiębiorców zobowiązanych do tworzenia i utrzymywania zapasów obowiązkowych przed rozliczeniem potencjalnych należności i wierzytelności względem Prezesa RARS. </w:t>
      </w:r>
    </w:p>
    <w:p w14:paraId="229F50B3" w14:textId="7DD6FD39" w:rsidR="001967C3" w:rsidRPr="001967C3" w:rsidRDefault="001967C3" w:rsidP="001967C3">
      <w:pPr>
        <w:pStyle w:val="Akapitzlist"/>
        <w:numPr>
          <w:ilvl w:val="0"/>
          <w:numId w:val="8"/>
        </w:numPr>
        <w:spacing w:after="0" w:line="300" w:lineRule="auto"/>
        <w:jc w:val="both"/>
        <w:rPr>
          <w:rFonts w:ascii="Arial" w:hAnsi="Arial" w:cs="Arial"/>
        </w:rPr>
      </w:pPr>
      <w:r w:rsidRPr="001967C3">
        <w:rPr>
          <w:rFonts w:ascii="Arial" w:hAnsi="Arial" w:cs="Arial"/>
        </w:rPr>
        <w:t>Uwzględnienie w przepisach o karach pieniężnych zmian w zakresie realizacji obowiązku tworzenia i utrzymywania zapasów obowiązkowych.</w:t>
      </w:r>
    </w:p>
    <w:p w14:paraId="572BDA81" w14:textId="28002F31" w:rsidR="001967C3" w:rsidRPr="001967C3" w:rsidRDefault="001967C3" w:rsidP="001967C3">
      <w:pPr>
        <w:pStyle w:val="Akapitzlist"/>
        <w:numPr>
          <w:ilvl w:val="0"/>
          <w:numId w:val="8"/>
        </w:numPr>
        <w:spacing w:after="0" w:line="300" w:lineRule="auto"/>
        <w:jc w:val="both"/>
        <w:rPr>
          <w:rFonts w:ascii="Arial" w:hAnsi="Arial" w:cs="Arial"/>
        </w:rPr>
      </w:pPr>
      <w:r w:rsidRPr="001967C3">
        <w:rPr>
          <w:rFonts w:ascii="Arial" w:hAnsi="Arial" w:cs="Arial"/>
        </w:rPr>
        <w:t xml:space="preserve">Uzupełnienie katalogu </w:t>
      </w:r>
      <w:proofErr w:type="spellStart"/>
      <w:r w:rsidRPr="001967C3">
        <w:rPr>
          <w:rFonts w:ascii="Arial" w:hAnsi="Arial" w:cs="Arial"/>
        </w:rPr>
        <w:t>wyłączeń</w:t>
      </w:r>
      <w:proofErr w:type="spellEnd"/>
      <w:r w:rsidRPr="001967C3">
        <w:rPr>
          <w:rFonts w:ascii="Arial" w:hAnsi="Arial" w:cs="Arial"/>
        </w:rPr>
        <w:t xml:space="preserve"> uniemożliwiających wydanie koncesji na podstawie ustawy z dnia 10 kwietnia 1997 r. – Prawo energetyczne (Dz. U. z 2026 r. poz. 43, 516 i 607) oraz katalogu przesłanek cofnięcia tej koncesji o okoliczności związane z koncesjami w zakresie paliw ciekłych. Zmiana zakłada dodanie do katalogu </w:t>
      </w:r>
      <w:proofErr w:type="spellStart"/>
      <w:r w:rsidRPr="001967C3">
        <w:rPr>
          <w:rFonts w:ascii="Arial" w:hAnsi="Arial" w:cs="Arial"/>
        </w:rPr>
        <w:t>wyłączeń</w:t>
      </w:r>
      <w:proofErr w:type="spellEnd"/>
      <w:r w:rsidRPr="001967C3">
        <w:rPr>
          <w:rFonts w:ascii="Arial" w:hAnsi="Arial" w:cs="Arial"/>
        </w:rPr>
        <w:t xml:space="preserve"> oraz przesłanek cofnięcia koncesji w przypadku, w którym wnioskodawca w ciągu ostatnich 3 lat posiadał koncesję na wykonywanie działalności gospodarczej w zakresie paliw ciekłych, ale zawiesił lub trwale zakończył działalność w zakresie paliw ciekłych przed upływem 5 lat od dnia jej uzyskania. Zmiana obejmie również wnioskodawców będącymi osobami prawnymi lub jednostką organizacyjną nieposiadającą osobowości prawnej albo przedsiębiorcą zagranicznym lub przedsiębiorcą zagranicznym prowadzącym działalność na terytorium Rzeczypospolitej Polskiej w ramach oddziału z siedzibą na terytorium Rzeczypospolitej Polskiej. </w:t>
      </w:r>
    </w:p>
    <w:p w14:paraId="486A63A0" w14:textId="027D6436" w:rsidR="001967C3" w:rsidRPr="001967C3" w:rsidRDefault="001967C3" w:rsidP="001967C3">
      <w:pPr>
        <w:pStyle w:val="Akapitzlist"/>
        <w:numPr>
          <w:ilvl w:val="0"/>
          <w:numId w:val="8"/>
        </w:numPr>
        <w:spacing w:after="0" w:line="300" w:lineRule="auto"/>
        <w:jc w:val="both"/>
        <w:rPr>
          <w:rFonts w:ascii="Arial" w:hAnsi="Arial" w:cs="Arial"/>
        </w:rPr>
      </w:pPr>
      <w:r w:rsidRPr="001967C3">
        <w:rPr>
          <w:rFonts w:ascii="Arial" w:hAnsi="Arial" w:cs="Arial"/>
        </w:rPr>
        <w:t xml:space="preserve">Powiązanie mechanizmu wykreślenia z RSZI z nowym mechanizmem stwierdzenia wygaśnięcia koncesji na obrót paliwami ciekłymi z zagranicą, której przedmiotem są jedynie paliwa ciekłe wymienione w przepisach wydanych na podstawie art. 3 ust. 5 ustawy z dnia 16 lutego 2007 r. o zapasach. </w:t>
      </w:r>
    </w:p>
    <w:p w14:paraId="347CC605" w14:textId="77777777" w:rsidR="001967C3" w:rsidRPr="001967C3" w:rsidRDefault="001967C3" w:rsidP="001967C3">
      <w:pPr>
        <w:spacing w:after="0" w:line="300" w:lineRule="auto"/>
        <w:jc w:val="both"/>
        <w:rPr>
          <w:rFonts w:ascii="Arial" w:hAnsi="Arial" w:cs="Arial"/>
        </w:rPr>
      </w:pPr>
      <w:r w:rsidRPr="001967C3">
        <w:rPr>
          <w:rFonts w:ascii="Arial" w:hAnsi="Arial" w:cs="Arial"/>
        </w:rPr>
        <w:lastRenderedPageBreak/>
        <w:t xml:space="preserve">Projektowane zmiany obejmują także uproszczenie i uporządkowanie procedur rozpoczynania i trwałego kończenia działalności w zakresie paliw ciekłych, uszczelnienie mechanizmów wychodzenia z systemu zapasów interwencyjnych oraz zwiększenie elastyczności zarządzania zapasami agencyjnymi. </w:t>
      </w:r>
    </w:p>
    <w:p w14:paraId="35EAA134" w14:textId="31C57FF0" w:rsidR="005607A6" w:rsidRDefault="001967C3" w:rsidP="001967C3">
      <w:pPr>
        <w:spacing w:after="0" w:line="300" w:lineRule="auto"/>
        <w:jc w:val="both"/>
        <w:rPr>
          <w:rFonts w:ascii="Arial" w:hAnsi="Arial" w:cs="Arial"/>
        </w:rPr>
      </w:pPr>
      <w:r w:rsidRPr="001967C3">
        <w:rPr>
          <w:rFonts w:ascii="Arial" w:hAnsi="Arial" w:cs="Arial"/>
        </w:rPr>
        <w:t>Proponowane zmiany przełożą się na zapewnienie stabilności regulacyjnej dla przedsiębiorców. Ponadto wprowadzone przepisy przyczynią się do wzmocnienia nadzoru i przejrzystości rynku paliw. W wymiarze strategicznym projektowana ustawa zwiększy odporność państwa na zakłócenia w dostawach paliw i wzmocni bezpieczeństwo energetyczne.</w:t>
      </w:r>
    </w:p>
    <w:p w14:paraId="2AD7457E" w14:textId="77777777" w:rsidR="005607A6" w:rsidRDefault="005607A6" w:rsidP="000B5F44">
      <w:pPr>
        <w:spacing w:after="0" w:line="300" w:lineRule="auto"/>
        <w:jc w:val="both"/>
        <w:rPr>
          <w:rFonts w:ascii="Arial" w:hAnsi="Arial" w:cs="Arial"/>
        </w:rPr>
      </w:pPr>
    </w:p>
    <w:p w14:paraId="6479DFD5" w14:textId="77777777" w:rsidR="0042074E" w:rsidRPr="0042074E" w:rsidRDefault="0042074E" w:rsidP="0042074E">
      <w:pPr>
        <w:spacing w:after="0" w:line="300" w:lineRule="auto"/>
        <w:jc w:val="both"/>
        <w:rPr>
          <w:rFonts w:ascii="Arial" w:hAnsi="Arial" w:cs="Arial"/>
        </w:rPr>
      </w:pPr>
      <w:r w:rsidRPr="0042074E">
        <w:rPr>
          <w:rFonts w:ascii="Arial" w:hAnsi="Arial" w:cs="Arial"/>
        </w:rPr>
        <w:t>Przedmiotowy projekt aktu prawnego wraz z Uzasadnieniem oraz Oceną Skutków Regulacji dostępny jest na stronach Rządowego Centrum Legislacji pod adresem:</w:t>
      </w:r>
    </w:p>
    <w:p w14:paraId="3AE44E10" w14:textId="449744FF" w:rsidR="0042074E" w:rsidRDefault="0042074E" w:rsidP="0042074E">
      <w:pPr>
        <w:spacing w:after="0" w:line="300" w:lineRule="auto"/>
        <w:jc w:val="both"/>
        <w:rPr>
          <w:rFonts w:ascii="Arial" w:hAnsi="Arial" w:cs="Arial"/>
        </w:rPr>
      </w:pPr>
      <w:hyperlink r:id="rId7" w:history="1">
        <w:r w:rsidRPr="005B6167">
          <w:rPr>
            <w:rStyle w:val="Hipercze"/>
            <w:rFonts w:ascii="Arial" w:hAnsi="Arial" w:cs="Arial"/>
          </w:rPr>
          <w:t>https://legislacja.rcl.gov.pl/projekt/12410700/katalo</w:t>
        </w:r>
        <w:r w:rsidRPr="005B6167">
          <w:rPr>
            <w:rStyle w:val="Hipercze"/>
            <w:rFonts w:ascii="Arial" w:hAnsi="Arial" w:cs="Arial"/>
          </w:rPr>
          <w:t>g</w:t>
        </w:r>
        <w:r w:rsidRPr="005B6167">
          <w:rPr>
            <w:rStyle w:val="Hipercze"/>
            <w:rFonts w:ascii="Arial" w:hAnsi="Arial" w:cs="Arial"/>
          </w:rPr>
          <w:t>/13205958#13205958</w:t>
        </w:r>
      </w:hyperlink>
      <w:r>
        <w:rPr>
          <w:rFonts w:ascii="Arial" w:hAnsi="Arial" w:cs="Arial"/>
        </w:rPr>
        <w:t xml:space="preserve"> </w:t>
      </w:r>
    </w:p>
    <w:p w14:paraId="2C3DA33E" w14:textId="77777777" w:rsidR="0042074E" w:rsidRDefault="0042074E" w:rsidP="000B5F44">
      <w:pPr>
        <w:spacing w:after="0" w:line="300" w:lineRule="auto"/>
        <w:jc w:val="both"/>
        <w:rPr>
          <w:rFonts w:ascii="Arial" w:hAnsi="Arial" w:cs="Arial"/>
        </w:rPr>
      </w:pPr>
    </w:p>
    <w:p w14:paraId="51639B1A" w14:textId="084FD3B3" w:rsidR="0042074E" w:rsidRDefault="0042074E" w:rsidP="000B5F44">
      <w:pPr>
        <w:spacing w:after="0" w:line="300" w:lineRule="auto"/>
        <w:jc w:val="both"/>
        <w:rPr>
          <w:rFonts w:ascii="Arial" w:hAnsi="Arial" w:cs="Arial"/>
        </w:rPr>
      </w:pPr>
      <w:r w:rsidRPr="0042074E">
        <w:rPr>
          <w:rFonts w:ascii="Arial" w:hAnsi="Arial" w:cs="Arial"/>
        </w:rPr>
        <w:t>Projekt jest obecnie jednocześnie na etapie uzgodnień, konsultacji publicznych i opiniowania.</w:t>
      </w:r>
    </w:p>
    <w:p w14:paraId="05A8CFFA" w14:textId="77777777" w:rsidR="0042074E" w:rsidRDefault="0042074E" w:rsidP="000B5F44">
      <w:pPr>
        <w:spacing w:after="0" w:line="300" w:lineRule="auto"/>
        <w:jc w:val="both"/>
        <w:rPr>
          <w:rFonts w:ascii="Arial" w:hAnsi="Arial" w:cs="Arial"/>
        </w:rPr>
      </w:pPr>
    </w:p>
    <w:p w14:paraId="1AF7948A" w14:textId="77777777" w:rsidR="000B5F44" w:rsidRDefault="000B5F44" w:rsidP="000B5F44">
      <w:pPr>
        <w:spacing w:after="0" w:line="300" w:lineRule="auto"/>
        <w:jc w:val="both"/>
        <w:rPr>
          <w:rFonts w:ascii="Arial" w:hAnsi="Arial" w:cs="Arial"/>
        </w:rPr>
      </w:pPr>
      <w:r>
        <w:rPr>
          <w:rFonts w:ascii="Arial" w:hAnsi="Arial" w:cs="Arial"/>
        </w:rPr>
        <w:t>Projekty rozporządzeń:</w:t>
      </w:r>
    </w:p>
    <w:p w14:paraId="5922AB25" w14:textId="77777777" w:rsidR="005607A6" w:rsidRDefault="005607A6" w:rsidP="000B5F44">
      <w:pPr>
        <w:spacing w:after="0" w:line="300" w:lineRule="auto"/>
        <w:jc w:val="both"/>
        <w:rPr>
          <w:rFonts w:ascii="Arial" w:hAnsi="Arial" w:cs="Arial"/>
        </w:rPr>
      </w:pPr>
    </w:p>
    <w:p w14:paraId="350D8F9C" w14:textId="74065919" w:rsidR="005607A6" w:rsidRPr="00540BCF" w:rsidRDefault="00D64ACA" w:rsidP="000B5F44">
      <w:pPr>
        <w:pStyle w:val="Akapitzlist"/>
        <w:numPr>
          <w:ilvl w:val="0"/>
          <w:numId w:val="4"/>
        </w:numPr>
        <w:spacing w:after="0" w:line="300" w:lineRule="auto"/>
        <w:jc w:val="both"/>
        <w:rPr>
          <w:rFonts w:ascii="Arial" w:hAnsi="Arial" w:cs="Arial"/>
          <w:b/>
          <w:bCs/>
          <w:u w:val="single"/>
        </w:rPr>
      </w:pPr>
      <w:r>
        <w:rPr>
          <w:rFonts w:ascii="Arial" w:hAnsi="Arial" w:cs="Arial"/>
          <w:b/>
          <w:bCs/>
          <w:u w:val="single"/>
        </w:rPr>
        <w:t>P</w:t>
      </w:r>
      <w:r w:rsidR="00540BCF" w:rsidRPr="00540BCF">
        <w:rPr>
          <w:rFonts w:ascii="Arial" w:hAnsi="Arial" w:cs="Arial"/>
          <w:b/>
          <w:bCs/>
          <w:u w:val="single"/>
        </w:rPr>
        <w:t>rojekt rozporządzenia Ministra Energii w sprawie szczegółowych warunków funkcjonowania systemu elektroenergetycznego (17).</w:t>
      </w:r>
    </w:p>
    <w:p w14:paraId="0CA0B76D" w14:textId="77777777" w:rsidR="005607A6" w:rsidRPr="00540BCF" w:rsidRDefault="005607A6" w:rsidP="00540BCF">
      <w:pPr>
        <w:spacing w:after="0" w:line="300" w:lineRule="auto"/>
        <w:jc w:val="both"/>
        <w:rPr>
          <w:rFonts w:ascii="Arial" w:hAnsi="Arial" w:cs="Arial"/>
        </w:rPr>
      </w:pPr>
    </w:p>
    <w:p w14:paraId="2057E98A" w14:textId="77777777" w:rsidR="00540BCF" w:rsidRPr="00540BCF" w:rsidRDefault="00540BCF" w:rsidP="00540BCF">
      <w:pPr>
        <w:spacing w:after="0" w:line="300" w:lineRule="auto"/>
        <w:jc w:val="both"/>
        <w:rPr>
          <w:rFonts w:ascii="Arial" w:eastAsia="Calibri" w:hAnsi="Arial" w:cs="Arial"/>
        </w:rPr>
      </w:pPr>
      <w:r w:rsidRPr="00540BCF">
        <w:rPr>
          <w:rFonts w:ascii="Arial" w:eastAsia="Calibri" w:hAnsi="Arial" w:cs="Arial"/>
        </w:rPr>
        <w:t xml:space="preserve">Konieczność wydania projektowanego rozporządzenia w sprawie szczegółowych warunków funkcjonowania systemu elektroenergetycznego wynika ze zmian w ustawie z dnia 10 kwietnia 1997 r. – Prawo energetyczne (Dz. U. z 2026 r. poz. 43, 516 i 607), zwanej dalej „ustawą – Prawo energetyczne”, wprowadzonych ustawą z dnia 28 lipca 2023 r. o zmianie ustawy – Prawo energetyczne oraz niektórych innych ustaw (Dz. U. z 2023 r. poz. 1681, z 2024 r. poz. 859 oraz z 2025 r. poz. 759), zwanej dalej „ustawą z dnia 28 lipca 2023 r., dokonanych w treści art. 9 ust. 3 i 4 zawierających upoważnienie oraz wytyczne dla ministra właściwego do spraw energii do określenia, w drodze rozporządzenia, szczegółowych warunków funkcjonowania systemu elektroenergetycznego. </w:t>
      </w:r>
    </w:p>
    <w:p w14:paraId="67A70662" w14:textId="77777777" w:rsidR="00540BCF" w:rsidRPr="00540BCF" w:rsidRDefault="00540BCF" w:rsidP="00540BCF">
      <w:pPr>
        <w:spacing w:after="0" w:line="300" w:lineRule="auto"/>
        <w:jc w:val="both"/>
        <w:rPr>
          <w:rFonts w:ascii="Arial" w:eastAsia="Calibri" w:hAnsi="Arial" w:cs="Arial"/>
        </w:rPr>
      </w:pPr>
      <w:r w:rsidRPr="00540BCF">
        <w:rPr>
          <w:rFonts w:ascii="Arial" w:eastAsia="Calibri" w:hAnsi="Arial" w:cs="Arial"/>
        </w:rPr>
        <w:t xml:space="preserve">Ustawa z dnia 28 lipca 2023 r. wdrożyła do polskiego porządku prawnego dyrektywę Parlamentu Europejskiego i Rady (UE) 2019/944 z dnia 5 czerwca 2019 r. dotyczącą wspólnych zasad rynku wewnętrznego energii elektrycznej oraz zmieniającą dyrektywę 2012/27/UE i nadała nowe brzmienie delegacji ustawowej oraz wytycznym zawartym w art. 9 ust. 3 i 4 ustawy – Prawo energetyczne. </w:t>
      </w:r>
    </w:p>
    <w:p w14:paraId="0DACC0BC" w14:textId="77777777" w:rsidR="00540BCF" w:rsidRPr="00540BCF" w:rsidRDefault="00540BCF" w:rsidP="00540BCF">
      <w:pPr>
        <w:spacing w:after="0" w:line="300" w:lineRule="auto"/>
        <w:jc w:val="both"/>
        <w:rPr>
          <w:rFonts w:ascii="Arial" w:eastAsia="Calibri" w:hAnsi="Arial" w:cs="Arial"/>
        </w:rPr>
      </w:pPr>
      <w:r w:rsidRPr="00540BCF">
        <w:rPr>
          <w:rFonts w:ascii="Arial" w:eastAsia="Calibri" w:hAnsi="Arial" w:cs="Arial"/>
        </w:rPr>
        <w:t xml:space="preserve">Zgodnie z art. 47 ust. 1 ustawy z dnia 28 lipca 2023 r. dotychczasowe przepisy wykonawcze wydane na podstawie art. 9 ust. 3 i 4 zachowują moc do dnia wejścia w życie nowych przepisów wykonawczych wydanych na podstawie art. 9 ust. 3 i 4, jednak nie dłużej niż przez 36 miesięcy od dnia wejścia w życie tej ustawy. Powołana ustawa weszła w życie (z określonymi wyjątkami) w dniu 7 września 2023 r. zatem dotychczasowe rozporządzenie Ministra Klimatu i Środowiska z dnia 22 marca 2023 r. w sprawie szczegółowych warunków funkcjonowania systemu elektroenergetycznego (Dz. U. z 2025 r. poz. 919) utraci moc w dniu 7 września 2026 r. </w:t>
      </w:r>
    </w:p>
    <w:p w14:paraId="376AABB0" w14:textId="77777777" w:rsidR="00540BCF" w:rsidRPr="00540BCF" w:rsidRDefault="00540BCF" w:rsidP="00540BCF">
      <w:pPr>
        <w:spacing w:after="0" w:line="300" w:lineRule="auto"/>
        <w:jc w:val="both"/>
        <w:rPr>
          <w:rFonts w:ascii="Arial" w:eastAsia="Calibri" w:hAnsi="Arial" w:cs="Arial"/>
        </w:rPr>
      </w:pPr>
      <w:r w:rsidRPr="00540BCF">
        <w:rPr>
          <w:rFonts w:ascii="Arial" w:eastAsia="Calibri" w:hAnsi="Arial" w:cs="Arial"/>
        </w:rPr>
        <w:lastRenderedPageBreak/>
        <w:t xml:space="preserve">Zmiany art. 9 ust. 3 i 4 wprowadzone ustawą z dnia 28 lipca 2023 r. w zakresie delegacji oraz wytycznych wiążą się z koniecznością uzupełnienia dotychczas obowiązujących rozwiązań o regulacje dotyczące: </w:t>
      </w:r>
    </w:p>
    <w:p w14:paraId="12494C0B" w14:textId="77777777" w:rsidR="00540BCF" w:rsidRPr="00540BCF" w:rsidRDefault="00540BCF" w:rsidP="00540BCF">
      <w:pPr>
        <w:pStyle w:val="Akapitzlist"/>
        <w:numPr>
          <w:ilvl w:val="0"/>
          <w:numId w:val="10"/>
        </w:numPr>
        <w:spacing w:after="0" w:line="300" w:lineRule="auto"/>
        <w:jc w:val="both"/>
        <w:rPr>
          <w:rFonts w:ascii="Arial" w:eastAsia="Calibri" w:hAnsi="Arial" w:cs="Arial"/>
        </w:rPr>
      </w:pPr>
      <w:r w:rsidRPr="00540BCF">
        <w:rPr>
          <w:rFonts w:ascii="Arial" w:eastAsia="Calibri" w:hAnsi="Arial" w:cs="Arial"/>
        </w:rPr>
        <w:t xml:space="preserve">zachęt do równoważenia ilości energii elektrycznej wynikającej z umów sprzedaży energii elektrycznej w zakresie energii elektrycznej dostarczonej lub pobranej oraz do zbilansowania ilości energii elektrycznej rzeczywiście dostarczonej lub pobranej z wielkościami wynikającymi z tych umów; </w:t>
      </w:r>
    </w:p>
    <w:p w14:paraId="20F6F1F4" w14:textId="77777777" w:rsidR="00540BCF" w:rsidRPr="00540BCF" w:rsidRDefault="00540BCF" w:rsidP="00540BCF">
      <w:pPr>
        <w:pStyle w:val="Akapitzlist"/>
        <w:numPr>
          <w:ilvl w:val="0"/>
          <w:numId w:val="10"/>
        </w:numPr>
        <w:spacing w:after="0" w:line="300" w:lineRule="auto"/>
        <w:jc w:val="both"/>
        <w:rPr>
          <w:rFonts w:ascii="Arial" w:eastAsia="Calibri" w:hAnsi="Arial" w:cs="Arial"/>
        </w:rPr>
      </w:pPr>
      <w:r w:rsidRPr="00540BCF">
        <w:rPr>
          <w:rFonts w:ascii="Arial" w:eastAsia="Calibri" w:hAnsi="Arial" w:cs="Arial"/>
        </w:rPr>
        <w:t xml:space="preserve">warunków agregacji; </w:t>
      </w:r>
    </w:p>
    <w:p w14:paraId="3CACDAB5" w14:textId="77777777" w:rsidR="00540BCF" w:rsidRPr="00540BCF" w:rsidRDefault="00540BCF" w:rsidP="00540BCF">
      <w:pPr>
        <w:pStyle w:val="Akapitzlist"/>
        <w:numPr>
          <w:ilvl w:val="0"/>
          <w:numId w:val="10"/>
        </w:numPr>
        <w:spacing w:after="0" w:line="300" w:lineRule="auto"/>
        <w:jc w:val="both"/>
        <w:rPr>
          <w:rFonts w:ascii="Arial" w:eastAsia="Calibri" w:hAnsi="Arial" w:cs="Arial"/>
        </w:rPr>
      </w:pPr>
      <w:r w:rsidRPr="00540BCF">
        <w:rPr>
          <w:rFonts w:ascii="Arial" w:eastAsia="Calibri" w:hAnsi="Arial" w:cs="Arial"/>
        </w:rPr>
        <w:t xml:space="preserve">prowadzenia rozliczeń z podmiotami odpowiedzialnymi za bilansowanie i dostawcami usług bilansujących, w tym rozliczeń z tytułu świadczenia usług bilansujących; za rezerwę operacyjną w funkcji wyceny niedoboru energii elektrycznej, o której mowa w art. 44 ust. 3 zdanie trzecie rozporządzenia Komisji (UE) 2017/2195 z dnia 23 listopada 2017 r. ustanawiającego wytyczne dotyczące bilansowania; </w:t>
      </w:r>
    </w:p>
    <w:p w14:paraId="4E4F2D04" w14:textId="77777777" w:rsidR="00540BCF" w:rsidRPr="00540BCF" w:rsidRDefault="00540BCF" w:rsidP="00540BCF">
      <w:pPr>
        <w:pStyle w:val="Akapitzlist"/>
        <w:numPr>
          <w:ilvl w:val="0"/>
          <w:numId w:val="10"/>
        </w:numPr>
        <w:spacing w:after="0" w:line="300" w:lineRule="auto"/>
        <w:jc w:val="both"/>
        <w:rPr>
          <w:rFonts w:ascii="Arial" w:eastAsia="Calibri" w:hAnsi="Arial" w:cs="Arial"/>
        </w:rPr>
      </w:pPr>
      <w:r w:rsidRPr="00540BCF">
        <w:rPr>
          <w:rFonts w:ascii="Arial" w:eastAsia="Calibri" w:hAnsi="Arial" w:cs="Arial"/>
        </w:rPr>
        <w:t xml:space="preserve">zakresu, warunków i sposobu prowadzenia rozliczeń z tytułu zarządzania ograniczeniami systemowymi, w tym sposobu wyznaczania cen, po których rozlicza się wytwarzanie lub odbiór energii elektrycznej w związku z zarządzaniem ograniczeniami systemowymi; </w:t>
      </w:r>
    </w:p>
    <w:p w14:paraId="4E7ED56F" w14:textId="77777777" w:rsidR="00540BCF" w:rsidRPr="00540BCF" w:rsidRDefault="00540BCF" w:rsidP="00540BCF">
      <w:pPr>
        <w:pStyle w:val="Akapitzlist"/>
        <w:numPr>
          <w:ilvl w:val="0"/>
          <w:numId w:val="10"/>
        </w:numPr>
        <w:spacing w:after="0" w:line="300" w:lineRule="auto"/>
        <w:jc w:val="both"/>
        <w:rPr>
          <w:rFonts w:ascii="Arial" w:eastAsia="Calibri" w:hAnsi="Arial" w:cs="Arial"/>
        </w:rPr>
      </w:pPr>
      <w:r w:rsidRPr="00540BCF">
        <w:rPr>
          <w:rFonts w:ascii="Arial" w:eastAsia="Calibri" w:hAnsi="Arial" w:cs="Arial"/>
        </w:rPr>
        <w:t xml:space="preserve">zakresu, warunków i sposobu wykorzystywania usług elastyczności przez operatora systemu dystrybucyjnego elektroenergetycznego; </w:t>
      </w:r>
    </w:p>
    <w:p w14:paraId="72CEDB23" w14:textId="77777777" w:rsidR="00540BCF" w:rsidRPr="00540BCF" w:rsidRDefault="00540BCF" w:rsidP="00540BCF">
      <w:pPr>
        <w:pStyle w:val="Akapitzlist"/>
        <w:numPr>
          <w:ilvl w:val="0"/>
          <w:numId w:val="10"/>
        </w:numPr>
        <w:spacing w:after="0" w:line="300" w:lineRule="auto"/>
        <w:jc w:val="both"/>
        <w:rPr>
          <w:rFonts w:ascii="Arial" w:eastAsia="Calibri" w:hAnsi="Arial" w:cs="Arial"/>
        </w:rPr>
      </w:pPr>
      <w:r w:rsidRPr="00540BCF">
        <w:rPr>
          <w:rFonts w:ascii="Arial" w:eastAsia="Calibri" w:hAnsi="Arial" w:cs="Arial"/>
        </w:rPr>
        <w:t xml:space="preserve">sposobu grupowania zasobów wykorzystywanych na potrzeby świadczenia usług bilansujących oraz usług elastyczności; </w:t>
      </w:r>
    </w:p>
    <w:p w14:paraId="04B9C96D" w14:textId="77777777" w:rsidR="00540BCF" w:rsidRPr="00540BCF" w:rsidRDefault="00540BCF" w:rsidP="00540BCF">
      <w:pPr>
        <w:pStyle w:val="Akapitzlist"/>
        <w:numPr>
          <w:ilvl w:val="0"/>
          <w:numId w:val="10"/>
        </w:numPr>
        <w:spacing w:after="0" w:line="300" w:lineRule="auto"/>
        <w:jc w:val="both"/>
        <w:rPr>
          <w:rFonts w:ascii="Arial" w:eastAsia="Calibri" w:hAnsi="Arial" w:cs="Arial"/>
        </w:rPr>
      </w:pPr>
      <w:r w:rsidRPr="00540BCF">
        <w:rPr>
          <w:rFonts w:ascii="Arial" w:eastAsia="Calibri" w:hAnsi="Arial" w:cs="Arial"/>
        </w:rPr>
        <w:t xml:space="preserve">warunków współpracy między operatorami systemów elektroenergetycznych, w tym z innymi przedsiębiorstwami energetycznymi w zakresie zarządzania przepływami i dysponowania mocą innych zasobów użytkowników systemu oraz wykorzystywania usług elastyczności; </w:t>
      </w:r>
    </w:p>
    <w:p w14:paraId="667109E0" w14:textId="77777777" w:rsidR="00540BCF" w:rsidRPr="00540BCF" w:rsidRDefault="00540BCF" w:rsidP="00540BCF">
      <w:pPr>
        <w:pStyle w:val="Akapitzlist"/>
        <w:numPr>
          <w:ilvl w:val="0"/>
          <w:numId w:val="10"/>
        </w:numPr>
        <w:spacing w:after="0" w:line="300" w:lineRule="auto"/>
        <w:jc w:val="both"/>
        <w:rPr>
          <w:rFonts w:ascii="Arial" w:eastAsia="Calibri" w:hAnsi="Arial" w:cs="Arial"/>
        </w:rPr>
      </w:pPr>
      <w:r w:rsidRPr="00540BCF">
        <w:rPr>
          <w:rFonts w:ascii="Arial" w:eastAsia="Calibri" w:hAnsi="Arial" w:cs="Arial"/>
        </w:rPr>
        <w:t xml:space="preserve">katalogu usług systemowych niedotyczących częstotliwości; </w:t>
      </w:r>
    </w:p>
    <w:p w14:paraId="1994C7D2" w14:textId="77777777" w:rsidR="00540BCF" w:rsidRPr="00540BCF" w:rsidRDefault="00540BCF" w:rsidP="00540BCF">
      <w:pPr>
        <w:pStyle w:val="Akapitzlist"/>
        <w:numPr>
          <w:ilvl w:val="0"/>
          <w:numId w:val="10"/>
        </w:numPr>
        <w:spacing w:after="0" w:line="300" w:lineRule="auto"/>
        <w:jc w:val="both"/>
        <w:rPr>
          <w:rFonts w:ascii="Arial" w:eastAsia="Calibri" w:hAnsi="Arial" w:cs="Arial"/>
        </w:rPr>
      </w:pPr>
      <w:r w:rsidRPr="00540BCF">
        <w:rPr>
          <w:rFonts w:ascii="Arial" w:eastAsia="Calibri" w:hAnsi="Arial" w:cs="Arial"/>
        </w:rPr>
        <w:t>specyfikacji znormalizowanych produktów rynkowych na potrzeby świadczenia usług elastyczności.</w:t>
      </w:r>
    </w:p>
    <w:p w14:paraId="7BC276E9" w14:textId="77777777" w:rsidR="00540BCF" w:rsidRPr="00540BCF" w:rsidRDefault="00540BCF" w:rsidP="00540BCF">
      <w:pPr>
        <w:spacing w:after="0" w:line="300" w:lineRule="auto"/>
        <w:jc w:val="both"/>
        <w:rPr>
          <w:rFonts w:ascii="Arial" w:eastAsia="Calibri" w:hAnsi="Arial" w:cs="Arial"/>
        </w:rPr>
      </w:pPr>
      <w:r w:rsidRPr="00540BCF">
        <w:rPr>
          <w:rFonts w:ascii="Arial" w:eastAsia="Calibri" w:hAnsi="Arial" w:cs="Arial"/>
        </w:rPr>
        <w:t xml:space="preserve">W związku z utratą w dniu 7 września 2026 r. mocy obowiązującej rozporządzenia Ministra Klimatu i Środowiska z dnia 22 marca 2023 r. w sprawie szczegółowych warunków funkcjonowania systemu elektroenergetycznego. Konieczne jest wydanie przez Ministra Energii nowego rozporządzenia, które kompleksowo zrealizuje delegację ustawową oraz wytyczne zawarte w art. 9 ust. 3 i 4 ustawy – Prawo energetyczne. </w:t>
      </w:r>
    </w:p>
    <w:p w14:paraId="6E58CE9D" w14:textId="77777777" w:rsidR="00540BCF" w:rsidRPr="00540BCF" w:rsidRDefault="00540BCF" w:rsidP="00540BCF">
      <w:pPr>
        <w:spacing w:after="0" w:line="300" w:lineRule="auto"/>
        <w:jc w:val="both"/>
        <w:rPr>
          <w:rFonts w:ascii="Arial" w:eastAsia="Calibri" w:hAnsi="Arial" w:cs="Arial"/>
        </w:rPr>
      </w:pPr>
      <w:r w:rsidRPr="00540BCF">
        <w:rPr>
          <w:rFonts w:ascii="Arial" w:eastAsia="Calibri" w:hAnsi="Arial" w:cs="Arial"/>
        </w:rPr>
        <w:t xml:space="preserve">Do zagadnień regulowanych w nowoprojektowanym rozporządzeniu należą m.in.:  </w:t>
      </w:r>
    </w:p>
    <w:p w14:paraId="5FFB548B" w14:textId="77777777" w:rsidR="00540BCF" w:rsidRPr="00540BCF" w:rsidRDefault="00540BCF" w:rsidP="00540BCF">
      <w:pPr>
        <w:pStyle w:val="Akapitzlist"/>
        <w:numPr>
          <w:ilvl w:val="0"/>
          <w:numId w:val="11"/>
        </w:numPr>
        <w:spacing w:after="0" w:line="300" w:lineRule="auto"/>
        <w:jc w:val="both"/>
        <w:rPr>
          <w:rFonts w:ascii="Arial" w:eastAsia="Calibri" w:hAnsi="Arial" w:cs="Arial"/>
        </w:rPr>
      </w:pPr>
      <w:r w:rsidRPr="00540BCF">
        <w:rPr>
          <w:rFonts w:ascii="Arial" w:eastAsia="Calibri" w:hAnsi="Arial" w:cs="Arial"/>
        </w:rPr>
        <w:t xml:space="preserve">kryteria podziału na grupy podmiotów ubiegających się o przyłączenie do sieci; </w:t>
      </w:r>
    </w:p>
    <w:p w14:paraId="47E74DE9" w14:textId="77777777" w:rsidR="00540BCF" w:rsidRPr="00540BCF" w:rsidRDefault="00540BCF" w:rsidP="00540BCF">
      <w:pPr>
        <w:pStyle w:val="Akapitzlist"/>
        <w:numPr>
          <w:ilvl w:val="0"/>
          <w:numId w:val="11"/>
        </w:numPr>
        <w:spacing w:after="0" w:line="300" w:lineRule="auto"/>
        <w:jc w:val="both"/>
        <w:rPr>
          <w:rFonts w:ascii="Arial" w:eastAsia="Calibri" w:hAnsi="Arial" w:cs="Arial"/>
        </w:rPr>
      </w:pPr>
      <w:r w:rsidRPr="00540BCF">
        <w:rPr>
          <w:rFonts w:ascii="Arial" w:eastAsia="Calibri" w:hAnsi="Arial" w:cs="Arial"/>
        </w:rPr>
        <w:t xml:space="preserve">warunki przyłączenia do sieci; </w:t>
      </w:r>
    </w:p>
    <w:p w14:paraId="0FA4AF53" w14:textId="77777777" w:rsidR="00540BCF" w:rsidRPr="00540BCF" w:rsidRDefault="00540BCF" w:rsidP="00540BCF">
      <w:pPr>
        <w:pStyle w:val="Akapitzlist"/>
        <w:numPr>
          <w:ilvl w:val="0"/>
          <w:numId w:val="11"/>
        </w:numPr>
        <w:spacing w:after="0" w:line="300" w:lineRule="auto"/>
        <w:jc w:val="both"/>
        <w:rPr>
          <w:rFonts w:ascii="Arial" w:eastAsia="Calibri" w:hAnsi="Arial" w:cs="Arial"/>
        </w:rPr>
      </w:pPr>
      <w:r w:rsidRPr="00540BCF">
        <w:rPr>
          <w:rFonts w:ascii="Arial" w:eastAsia="Calibri" w:hAnsi="Arial" w:cs="Arial"/>
        </w:rPr>
        <w:t xml:space="preserve">sposób prowadzenia obrotu energią elektryczną oraz procedurę zmiany sprzedawcy; </w:t>
      </w:r>
    </w:p>
    <w:p w14:paraId="3BE6C829" w14:textId="77777777" w:rsidR="00540BCF" w:rsidRPr="00540BCF" w:rsidRDefault="00540BCF" w:rsidP="00540BCF">
      <w:pPr>
        <w:pStyle w:val="Akapitzlist"/>
        <w:numPr>
          <w:ilvl w:val="0"/>
          <w:numId w:val="11"/>
        </w:numPr>
        <w:spacing w:after="0" w:line="300" w:lineRule="auto"/>
        <w:jc w:val="both"/>
        <w:rPr>
          <w:rFonts w:ascii="Arial" w:eastAsia="Calibri" w:hAnsi="Arial" w:cs="Arial"/>
        </w:rPr>
      </w:pPr>
      <w:r w:rsidRPr="00540BCF">
        <w:rPr>
          <w:rFonts w:ascii="Arial" w:eastAsia="Calibri" w:hAnsi="Arial" w:cs="Arial"/>
        </w:rPr>
        <w:t xml:space="preserve">warunki świadczenia usług przesyłania, dystrybucji energii elektrycznej, agregacji, prowadzenia ruchu sieciowego, eksploatacji sieci oraz korzystania z systemu elektroenergetycznego i połączeń międzysystemowych; </w:t>
      </w:r>
    </w:p>
    <w:p w14:paraId="1F99B1E6" w14:textId="77777777" w:rsidR="00540BCF" w:rsidRPr="00540BCF" w:rsidRDefault="00540BCF" w:rsidP="00540BCF">
      <w:pPr>
        <w:pStyle w:val="Akapitzlist"/>
        <w:numPr>
          <w:ilvl w:val="0"/>
          <w:numId w:val="11"/>
        </w:numPr>
        <w:spacing w:after="0" w:line="300" w:lineRule="auto"/>
        <w:jc w:val="both"/>
        <w:rPr>
          <w:rFonts w:ascii="Arial" w:eastAsia="Calibri" w:hAnsi="Arial" w:cs="Arial"/>
        </w:rPr>
      </w:pPr>
      <w:r w:rsidRPr="00540BCF">
        <w:rPr>
          <w:rFonts w:ascii="Arial" w:eastAsia="Calibri" w:hAnsi="Arial" w:cs="Arial"/>
        </w:rPr>
        <w:t xml:space="preserve">zakres, warunki i sposób funkcjonowania rynku bilansującego; </w:t>
      </w:r>
    </w:p>
    <w:p w14:paraId="664A98B2" w14:textId="77777777" w:rsidR="00540BCF" w:rsidRPr="00540BCF" w:rsidRDefault="00540BCF" w:rsidP="00540BCF">
      <w:pPr>
        <w:pStyle w:val="Akapitzlist"/>
        <w:numPr>
          <w:ilvl w:val="0"/>
          <w:numId w:val="11"/>
        </w:numPr>
        <w:spacing w:after="0" w:line="300" w:lineRule="auto"/>
        <w:jc w:val="both"/>
        <w:rPr>
          <w:rFonts w:ascii="Arial" w:eastAsia="Calibri" w:hAnsi="Arial" w:cs="Arial"/>
        </w:rPr>
      </w:pPr>
      <w:r w:rsidRPr="00540BCF">
        <w:rPr>
          <w:rFonts w:ascii="Arial" w:eastAsia="Calibri" w:hAnsi="Arial" w:cs="Arial"/>
        </w:rPr>
        <w:t xml:space="preserve">zakres, warunki i sposób zarządzania ograniczeniami systemowymi oraz prowadzenia rozliczeń z tego tytułu; </w:t>
      </w:r>
    </w:p>
    <w:p w14:paraId="56D0E431" w14:textId="77777777" w:rsidR="00540BCF" w:rsidRPr="00540BCF" w:rsidRDefault="00540BCF" w:rsidP="00540BCF">
      <w:pPr>
        <w:pStyle w:val="Akapitzlist"/>
        <w:numPr>
          <w:ilvl w:val="0"/>
          <w:numId w:val="11"/>
        </w:numPr>
        <w:spacing w:after="0" w:line="300" w:lineRule="auto"/>
        <w:jc w:val="both"/>
        <w:rPr>
          <w:rFonts w:ascii="Arial" w:eastAsia="Calibri" w:hAnsi="Arial" w:cs="Arial"/>
        </w:rPr>
      </w:pPr>
      <w:r w:rsidRPr="00540BCF">
        <w:rPr>
          <w:rFonts w:ascii="Arial" w:eastAsia="Calibri" w:hAnsi="Arial" w:cs="Arial"/>
        </w:rPr>
        <w:t xml:space="preserve">zakres, warunki i sposób wykorzystania usług elastyczności; </w:t>
      </w:r>
    </w:p>
    <w:p w14:paraId="26CF0B7C" w14:textId="77777777" w:rsidR="00540BCF" w:rsidRPr="00540BCF" w:rsidRDefault="00540BCF" w:rsidP="00540BCF">
      <w:pPr>
        <w:pStyle w:val="Akapitzlist"/>
        <w:numPr>
          <w:ilvl w:val="0"/>
          <w:numId w:val="11"/>
        </w:numPr>
        <w:spacing w:after="0" w:line="300" w:lineRule="auto"/>
        <w:jc w:val="both"/>
        <w:rPr>
          <w:rFonts w:ascii="Arial" w:eastAsia="Calibri" w:hAnsi="Arial" w:cs="Arial"/>
        </w:rPr>
      </w:pPr>
      <w:r w:rsidRPr="00540BCF">
        <w:rPr>
          <w:rFonts w:ascii="Arial" w:eastAsia="Calibri" w:hAnsi="Arial" w:cs="Arial"/>
        </w:rPr>
        <w:lastRenderedPageBreak/>
        <w:t xml:space="preserve">sposób koordynacji planowania rozwoju systemu elektroenergetycznego; </w:t>
      </w:r>
    </w:p>
    <w:p w14:paraId="6FF86C29" w14:textId="77777777" w:rsidR="00540BCF" w:rsidRPr="00540BCF" w:rsidRDefault="00540BCF" w:rsidP="00540BCF">
      <w:pPr>
        <w:pStyle w:val="Akapitzlist"/>
        <w:numPr>
          <w:ilvl w:val="0"/>
          <w:numId w:val="11"/>
        </w:numPr>
        <w:spacing w:after="0" w:line="300" w:lineRule="auto"/>
        <w:jc w:val="both"/>
        <w:rPr>
          <w:rFonts w:ascii="Arial" w:eastAsia="Calibri" w:hAnsi="Arial" w:cs="Arial"/>
        </w:rPr>
      </w:pPr>
      <w:r w:rsidRPr="00540BCF">
        <w:rPr>
          <w:rFonts w:ascii="Arial" w:eastAsia="Calibri" w:hAnsi="Arial" w:cs="Arial"/>
        </w:rPr>
        <w:t xml:space="preserve">warunki współpracy pomiędzy operatorami systemów elektroenergetycznych, w tym z innymi przedsiębiorstwami energetycznymi; </w:t>
      </w:r>
    </w:p>
    <w:p w14:paraId="285A521D" w14:textId="77777777" w:rsidR="00540BCF" w:rsidRPr="00540BCF" w:rsidRDefault="00540BCF" w:rsidP="00540BCF">
      <w:pPr>
        <w:pStyle w:val="Akapitzlist"/>
        <w:numPr>
          <w:ilvl w:val="0"/>
          <w:numId w:val="11"/>
        </w:numPr>
        <w:spacing w:after="0" w:line="300" w:lineRule="auto"/>
        <w:jc w:val="both"/>
        <w:rPr>
          <w:rFonts w:ascii="Arial" w:eastAsia="Calibri" w:hAnsi="Arial" w:cs="Arial"/>
        </w:rPr>
      </w:pPr>
      <w:r w:rsidRPr="00540BCF">
        <w:rPr>
          <w:rFonts w:ascii="Arial" w:eastAsia="Calibri" w:hAnsi="Arial" w:cs="Arial"/>
        </w:rPr>
        <w:t xml:space="preserve">katalog usług systemowych niedotyczących częstotliwości; </w:t>
      </w:r>
    </w:p>
    <w:p w14:paraId="2C0CE7B2" w14:textId="77777777" w:rsidR="00540BCF" w:rsidRPr="00540BCF" w:rsidRDefault="00540BCF" w:rsidP="00540BCF">
      <w:pPr>
        <w:pStyle w:val="Akapitzlist"/>
        <w:numPr>
          <w:ilvl w:val="0"/>
          <w:numId w:val="11"/>
        </w:numPr>
        <w:spacing w:after="0" w:line="300" w:lineRule="auto"/>
        <w:jc w:val="both"/>
        <w:rPr>
          <w:rFonts w:ascii="Arial" w:eastAsia="Calibri" w:hAnsi="Arial" w:cs="Arial"/>
        </w:rPr>
      </w:pPr>
      <w:r w:rsidRPr="00540BCF">
        <w:rPr>
          <w:rFonts w:ascii="Arial" w:eastAsia="Calibri" w:hAnsi="Arial" w:cs="Arial"/>
        </w:rPr>
        <w:t xml:space="preserve">zakres i sposób przekazywania informacji pomiędzy uczestnikami rynku energii elektrycznej; </w:t>
      </w:r>
    </w:p>
    <w:p w14:paraId="0621643F" w14:textId="77777777" w:rsidR="00540BCF" w:rsidRPr="00540BCF" w:rsidRDefault="00540BCF" w:rsidP="00540BCF">
      <w:pPr>
        <w:pStyle w:val="Akapitzlist"/>
        <w:numPr>
          <w:ilvl w:val="0"/>
          <w:numId w:val="11"/>
        </w:numPr>
        <w:spacing w:after="0" w:line="300" w:lineRule="auto"/>
        <w:jc w:val="both"/>
        <w:rPr>
          <w:rFonts w:ascii="Arial" w:eastAsia="Calibri" w:hAnsi="Arial" w:cs="Arial"/>
        </w:rPr>
      </w:pPr>
      <w:r w:rsidRPr="00540BCF">
        <w:rPr>
          <w:rFonts w:ascii="Arial" w:eastAsia="Calibri" w:hAnsi="Arial" w:cs="Arial"/>
        </w:rPr>
        <w:t xml:space="preserve">parametry jakościowe energii elektrycznej i standardy jakościowe obsługi odbiorców; </w:t>
      </w:r>
    </w:p>
    <w:p w14:paraId="4A0F6A6D" w14:textId="77777777" w:rsidR="00540BCF" w:rsidRPr="00540BCF" w:rsidRDefault="00540BCF" w:rsidP="00540BCF">
      <w:pPr>
        <w:pStyle w:val="Akapitzlist"/>
        <w:numPr>
          <w:ilvl w:val="0"/>
          <w:numId w:val="11"/>
        </w:numPr>
        <w:spacing w:after="0" w:line="300" w:lineRule="auto"/>
        <w:jc w:val="both"/>
        <w:rPr>
          <w:rFonts w:ascii="Arial" w:eastAsia="Calibri" w:hAnsi="Arial" w:cs="Arial"/>
        </w:rPr>
      </w:pPr>
      <w:r w:rsidRPr="00540BCF">
        <w:rPr>
          <w:rFonts w:ascii="Arial" w:eastAsia="Calibri" w:hAnsi="Arial" w:cs="Arial"/>
        </w:rPr>
        <w:t xml:space="preserve">sposób załatwiania reklamacji. </w:t>
      </w:r>
    </w:p>
    <w:p w14:paraId="4C72B183" w14:textId="77777777" w:rsidR="00540BCF" w:rsidRPr="00540BCF" w:rsidRDefault="00540BCF" w:rsidP="00540BCF">
      <w:pPr>
        <w:spacing w:after="0" w:line="300" w:lineRule="auto"/>
        <w:jc w:val="both"/>
        <w:rPr>
          <w:rFonts w:ascii="Arial" w:eastAsia="Calibri" w:hAnsi="Arial" w:cs="Arial"/>
        </w:rPr>
      </w:pPr>
      <w:r w:rsidRPr="00540BCF">
        <w:rPr>
          <w:rFonts w:ascii="Arial" w:eastAsia="Calibri" w:hAnsi="Arial" w:cs="Arial"/>
        </w:rPr>
        <w:t xml:space="preserve">Projekt rozporządzenia w znacznej mierze kontynuuje dotychczasowe podejście regulacyjne. Nowym i istotnym obszarem regulowanym w projekcie będą zasady świadczenia usług elastyczności.  </w:t>
      </w:r>
    </w:p>
    <w:p w14:paraId="6710C73A" w14:textId="77777777" w:rsidR="00540BCF" w:rsidRPr="00540BCF" w:rsidRDefault="00540BCF" w:rsidP="00540BCF">
      <w:pPr>
        <w:spacing w:after="0" w:line="300" w:lineRule="auto"/>
        <w:jc w:val="both"/>
        <w:rPr>
          <w:rFonts w:ascii="Arial" w:eastAsia="Calibri" w:hAnsi="Arial" w:cs="Arial"/>
        </w:rPr>
      </w:pPr>
      <w:r w:rsidRPr="00540BCF">
        <w:rPr>
          <w:rFonts w:ascii="Arial" w:eastAsia="Calibri" w:hAnsi="Arial" w:cs="Arial"/>
        </w:rPr>
        <w:t xml:space="preserve">Zgodnie z delegacją ustawową, przewiduje się zdefiniowanie znormalizowanych produktów rynkowych na potrzeby świadczenia usług elastyczności, wraz z określeniem zakresu, warunków i sposobu ich wykorzystania przez operatorów systemów dystrybucyjnych elektroenergetycznych (dalej jako: „OSD”), z uwzględnieniem aktualnych i prognozowanych potrzeb systemu elektroenergetycznego. W tym zakresie projektodawca zaproponował OSD jako podmiot odpowiedzialny za pozyskiwanie i aktywację usług elastyczności (z wyłączeniem zasobów przyłączonych do sieci elektroenergetycznej 110 </w:t>
      </w:r>
      <w:proofErr w:type="spellStart"/>
      <w:r w:rsidRPr="00540BCF">
        <w:rPr>
          <w:rFonts w:ascii="Arial" w:eastAsia="Calibri" w:hAnsi="Arial" w:cs="Arial"/>
        </w:rPr>
        <w:t>kV</w:t>
      </w:r>
      <w:proofErr w:type="spellEnd"/>
      <w:r w:rsidRPr="00540BCF">
        <w:rPr>
          <w:rFonts w:ascii="Arial" w:eastAsia="Calibri" w:hAnsi="Arial" w:cs="Arial"/>
        </w:rPr>
        <w:t>). Usługi elastyczności będą świadczone na podstawie umowy o świadczenie usług elastyczności przez uczestników rynku i będą polegać na zmianie poboru mocy czynnej w sieci dystrybucyjnej lub wprowadzania mocy czynnej do sieci dystrybucyjnej w stosunku do profilu bazowego wyznaczonego przez OSD. Zgodnie z projektem warunkiem świadczenia na rzecz OSD usług elastyczności jest spełnienie wymagań określonych w rozporządzeniu oraz w instrukcji ruchu i eksploatacji sieci dystrybucyjnej. OSD będzie dokonywać kwalifikacji podmiotów i zasobów do świadczenia usług, które będą wpisywane na listę dostawców usług elastyczności. W ramach projektowanych rozwiązań planuje się zdefiniowanie m.in. dostawców usług elastyczności i zasobów elastyczności, a także ustanowienie zasad grupowania zasobów wykorzystywanych na potrzeby świadczenia usług. Projektodawca określił również zasady współpracy pomiędzy OSD i operatorem systemu przesyłowego elektroenergetycznego (dalej jako: „OSP”), w tym zasady pierwszeństwa w korzystaniu z zasobów świadczących usługi elastyczności. Projektowane rozporządzenie określi również specyfikację produktów, zakres umowy o świadczenie usług elastyczności, sposób rozliczania dostawców usług elastyczności z OSD, a także zdefiniuje znormalizowane produkty elastyczności dostosowane do potrzeb OSD.</w:t>
      </w:r>
    </w:p>
    <w:p w14:paraId="09B7F7B5" w14:textId="77777777" w:rsidR="00540BCF" w:rsidRPr="00540BCF" w:rsidRDefault="00540BCF" w:rsidP="00540BCF">
      <w:pPr>
        <w:spacing w:after="0" w:line="300" w:lineRule="auto"/>
        <w:jc w:val="both"/>
        <w:rPr>
          <w:rFonts w:ascii="Arial" w:eastAsia="Calibri" w:hAnsi="Arial" w:cs="Arial"/>
        </w:rPr>
      </w:pPr>
      <w:r w:rsidRPr="00540BCF">
        <w:rPr>
          <w:rFonts w:ascii="Arial" w:eastAsia="Calibri" w:hAnsi="Arial" w:cs="Arial"/>
        </w:rPr>
        <w:t xml:space="preserve">Ponadto, w projekcie rozporządzenia wprowadzono m. in.: </w:t>
      </w:r>
    </w:p>
    <w:p w14:paraId="71A682FD" w14:textId="77777777" w:rsidR="00540BCF" w:rsidRPr="00540BCF" w:rsidRDefault="00540BCF" w:rsidP="00540BCF">
      <w:pPr>
        <w:pStyle w:val="Akapitzlist"/>
        <w:numPr>
          <w:ilvl w:val="0"/>
          <w:numId w:val="12"/>
        </w:numPr>
        <w:spacing w:after="0" w:line="300" w:lineRule="auto"/>
        <w:jc w:val="both"/>
        <w:rPr>
          <w:rFonts w:ascii="Arial" w:eastAsia="Calibri" w:hAnsi="Arial" w:cs="Arial"/>
        </w:rPr>
      </w:pPr>
      <w:r w:rsidRPr="00540BCF">
        <w:rPr>
          <w:rFonts w:ascii="Arial" w:eastAsia="Calibri" w:hAnsi="Arial" w:cs="Arial"/>
        </w:rPr>
        <w:t xml:space="preserve">definicję zasobu regulacyjnego, co pozwoli na zwiększenie liczby zasobów aktywnych na rynku bilansującym i będzie skutkowało wzrostem konkurencji w świadczeniu usług bilansujących; </w:t>
      </w:r>
    </w:p>
    <w:p w14:paraId="1BFC1282" w14:textId="77777777" w:rsidR="00540BCF" w:rsidRPr="00540BCF" w:rsidRDefault="00540BCF" w:rsidP="00540BCF">
      <w:pPr>
        <w:pStyle w:val="Akapitzlist"/>
        <w:numPr>
          <w:ilvl w:val="0"/>
          <w:numId w:val="12"/>
        </w:numPr>
        <w:spacing w:after="0" w:line="300" w:lineRule="auto"/>
        <w:jc w:val="both"/>
        <w:rPr>
          <w:rFonts w:ascii="Arial" w:eastAsia="Calibri" w:hAnsi="Arial" w:cs="Arial"/>
        </w:rPr>
      </w:pPr>
      <w:r w:rsidRPr="00540BCF">
        <w:rPr>
          <w:rFonts w:ascii="Arial" w:eastAsia="Calibri" w:hAnsi="Arial" w:cs="Arial"/>
        </w:rPr>
        <w:t xml:space="preserve">ograniczenie zakresu wniosków o określenie warunków przyłączenia i innych dokumentów składanych procesie przyłączeniowym; </w:t>
      </w:r>
    </w:p>
    <w:p w14:paraId="305EBC9A" w14:textId="77777777" w:rsidR="00540BCF" w:rsidRPr="00540BCF" w:rsidRDefault="00540BCF" w:rsidP="00540BCF">
      <w:pPr>
        <w:pStyle w:val="Akapitzlist"/>
        <w:numPr>
          <w:ilvl w:val="0"/>
          <w:numId w:val="12"/>
        </w:numPr>
        <w:spacing w:after="0" w:line="300" w:lineRule="auto"/>
        <w:jc w:val="both"/>
        <w:rPr>
          <w:rFonts w:ascii="Arial" w:eastAsia="Calibri" w:hAnsi="Arial" w:cs="Arial"/>
        </w:rPr>
      </w:pPr>
      <w:r w:rsidRPr="00540BCF">
        <w:rPr>
          <w:rFonts w:ascii="Arial" w:eastAsia="Calibri" w:hAnsi="Arial" w:cs="Arial"/>
        </w:rPr>
        <w:t xml:space="preserve">większy limit maksymalnej łącznej mocy osiągalnej zasobów agregowanych wchodzących w skład jednostki grafikowej do poziomu 500 MW; </w:t>
      </w:r>
    </w:p>
    <w:p w14:paraId="3D761C57" w14:textId="77777777" w:rsidR="00540BCF" w:rsidRPr="00540BCF" w:rsidRDefault="00540BCF" w:rsidP="00540BCF">
      <w:pPr>
        <w:pStyle w:val="Akapitzlist"/>
        <w:numPr>
          <w:ilvl w:val="0"/>
          <w:numId w:val="12"/>
        </w:numPr>
        <w:spacing w:after="0" w:line="300" w:lineRule="auto"/>
        <w:jc w:val="both"/>
        <w:rPr>
          <w:rFonts w:ascii="Arial" w:eastAsia="Calibri" w:hAnsi="Arial" w:cs="Arial"/>
        </w:rPr>
      </w:pPr>
      <w:r w:rsidRPr="00540BCF">
        <w:rPr>
          <w:rFonts w:ascii="Arial" w:eastAsia="Calibri" w:hAnsi="Arial" w:cs="Arial"/>
        </w:rPr>
        <w:t xml:space="preserve">zmiany w zakresie prowadzenia rozliczeń i określania cen na rynku bilansującym energii elektrycznej; </w:t>
      </w:r>
    </w:p>
    <w:p w14:paraId="7729F883" w14:textId="77777777" w:rsidR="00540BCF" w:rsidRPr="00540BCF" w:rsidRDefault="00540BCF" w:rsidP="00540BCF">
      <w:pPr>
        <w:pStyle w:val="Akapitzlist"/>
        <w:numPr>
          <w:ilvl w:val="0"/>
          <w:numId w:val="12"/>
        </w:numPr>
        <w:spacing w:after="0" w:line="300" w:lineRule="auto"/>
        <w:jc w:val="both"/>
        <w:rPr>
          <w:rFonts w:ascii="Arial" w:eastAsia="Calibri" w:hAnsi="Arial" w:cs="Arial"/>
        </w:rPr>
      </w:pPr>
      <w:r w:rsidRPr="00540BCF">
        <w:rPr>
          <w:rFonts w:ascii="Arial" w:eastAsia="Calibri" w:hAnsi="Arial" w:cs="Arial"/>
        </w:rPr>
        <w:t xml:space="preserve">katalog usług niedotyczących częstotliwości dla OSP i OSD; </w:t>
      </w:r>
    </w:p>
    <w:p w14:paraId="202FC1A9" w14:textId="77777777" w:rsidR="00540BCF" w:rsidRPr="00540BCF" w:rsidRDefault="00540BCF" w:rsidP="00540BCF">
      <w:pPr>
        <w:pStyle w:val="Akapitzlist"/>
        <w:numPr>
          <w:ilvl w:val="0"/>
          <w:numId w:val="12"/>
        </w:numPr>
        <w:spacing w:after="0" w:line="300" w:lineRule="auto"/>
        <w:jc w:val="both"/>
        <w:rPr>
          <w:rFonts w:ascii="Arial" w:eastAsia="Calibri" w:hAnsi="Arial" w:cs="Arial"/>
        </w:rPr>
      </w:pPr>
      <w:r w:rsidRPr="00540BCF">
        <w:rPr>
          <w:rFonts w:ascii="Arial" w:eastAsia="Calibri" w:hAnsi="Arial" w:cs="Arial"/>
        </w:rPr>
        <w:lastRenderedPageBreak/>
        <w:t xml:space="preserve">zmiany w zakresie warunków współpracy pomiędzy operatorami systemów elektroenergetycznych. </w:t>
      </w:r>
    </w:p>
    <w:p w14:paraId="632544D6" w14:textId="77777777" w:rsidR="00540BCF" w:rsidRPr="00540BCF" w:rsidRDefault="00540BCF" w:rsidP="00540BCF">
      <w:pPr>
        <w:spacing w:after="0" w:line="300" w:lineRule="auto"/>
        <w:jc w:val="both"/>
        <w:rPr>
          <w:rFonts w:ascii="Arial" w:eastAsia="Calibri" w:hAnsi="Arial" w:cs="Arial"/>
        </w:rPr>
      </w:pPr>
      <w:r w:rsidRPr="00540BCF">
        <w:rPr>
          <w:rFonts w:ascii="Arial" w:eastAsia="Calibri" w:hAnsi="Arial" w:cs="Arial"/>
        </w:rPr>
        <w:t xml:space="preserve">Do głównych przewidywanych efektów regulacji ujętych w projekcie rozporządzenia należą: </w:t>
      </w:r>
    </w:p>
    <w:p w14:paraId="27CEBAC8" w14:textId="77777777" w:rsidR="00540BCF" w:rsidRPr="00540BCF" w:rsidRDefault="00540BCF" w:rsidP="00540BCF">
      <w:pPr>
        <w:pStyle w:val="Akapitzlist"/>
        <w:numPr>
          <w:ilvl w:val="0"/>
          <w:numId w:val="13"/>
        </w:numPr>
        <w:spacing w:after="0" w:line="300" w:lineRule="auto"/>
        <w:jc w:val="both"/>
        <w:rPr>
          <w:rFonts w:ascii="Arial" w:eastAsia="Calibri" w:hAnsi="Arial" w:cs="Arial"/>
        </w:rPr>
      </w:pPr>
      <w:r w:rsidRPr="00540BCF">
        <w:rPr>
          <w:rFonts w:ascii="Arial" w:eastAsia="Calibri" w:hAnsi="Arial" w:cs="Arial"/>
        </w:rPr>
        <w:t xml:space="preserve">wypełnienie regulacji europejskich dotyczących zasad funkcjonowania rynku bilansującego oraz z zakresu usług elastyczności; </w:t>
      </w:r>
    </w:p>
    <w:p w14:paraId="40E059DB" w14:textId="77777777" w:rsidR="00540BCF" w:rsidRPr="00540BCF" w:rsidRDefault="00540BCF" w:rsidP="00540BCF">
      <w:pPr>
        <w:pStyle w:val="Akapitzlist"/>
        <w:numPr>
          <w:ilvl w:val="0"/>
          <w:numId w:val="13"/>
        </w:numPr>
        <w:spacing w:after="0" w:line="300" w:lineRule="auto"/>
        <w:jc w:val="both"/>
        <w:rPr>
          <w:rFonts w:ascii="Arial" w:eastAsia="Calibri" w:hAnsi="Arial" w:cs="Arial"/>
        </w:rPr>
      </w:pPr>
      <w:r w:rsidRPr="00540BCF">
        <w:rPr>
          <w:rFonts w:ascii="Arial" w:eastAsia="Calibri" w:hAnsi="Arial" w:cs="Arial"/>
        </w:rPr>
        <w:t xml:space="preserve">uproszczenie procesu przyłączania nowych instalacji, urządzeń i sieci do sieci elektroenergetycznej, co umożliwi integrację większej liczby tych obiektów w krajowym systemie elektroenergetycznym; </w:t>
      </w:r>
    </w:p>
    <w:p w14:paraId="79E4002B" w14:textId="77777777" w:rsidR="00540BCF" w:rsidRPr="00540BCF" w:rsidRDefault="00540BCF" w:rsidP="00540BCF">
      <w:pPr>
        <w:pStyle w:val="Akapitzlist"/>
        <w:numPr>
          <w:ilvl w:val="0"/>
          <w:numId w:val="13"/>
        </w:numPr>
        <w:spacing w:after="0" w:line="300" w:lineRule="auto"/>
        <w:jc w:val="both"/>
        <w:rPr>
          <w:rFonts w:ascii="Arial" w:eastAsia="Calibri" w:hAnsi="Arial" w:cs="Arial"/>
        </w:rPr>
      </w:pPr>
      <w:r w:rsidRPr="00540BCF">
        <w:rPr>
          <w:rFonts w:ascii="Arial" w:eastAsia="Calibri" w:hAnsi="Arial" w:cs="Arial"/>
        </w:rPr>
        <w:t xml:space="preserve">zwiększenie konkurencyjności i efektywności działania rynku energii elektrycznej w Polsce, w szczególności jak najlepsze zbilansowanie systemu w wyniku transakcji rynkowych oraz aktywizacja do szerszego udziału w bilansowaniu systemu ze strony podmiotów do tej pory działających pasywnie; </w:t>
      </w:r>
    </w:p>
    <w:p w14:paraId="3AE77B1D" w14:textId="77777777" w:rsidR="00540BCF" w:rsidRPr="00540BCF" w:rsidRDefault="00540BCF" w:rsidP="00540BCF">
      <w:pPr>
        <w:pStyle w:val="Akapitzlist"/>
        <w:numPr>
          <w:ilvl w:val="0"/>
          <w:numId w:val="13"/>
        </w:numPr>
        <w:spacing w:after="0" w:line="300" w:lineRule="auto"/>
        <w:jc w:val="both"/>
        <w:rPr>
          <w:rFonts w:ascii="Arial" w:eastAsia="Calibri" w:hAnsi="Arial" w:cs="Arial"/>
        </w:rPr>
      </w:pPr>
      <w:r w:rsidRPr="00540BCF">
        <w:rPr>
          <w:rFonts w:ascii="Arial" w:eastAsia="Calibri" w:hAnsi="Arial" w:cs="Arial"/>
        </w:rPr>
        <w:t xml:space="preserve">poprawa jakości funkcjonowania systemu elektroenergetycznego, w tym jakości energii elektrycznej oraz zapewnienie większej odporności na awarie; </w:t>
      </w:r>
    </w:p>
    <w:p w14:paraId="5D6AED5C" w14:textId="77777777" w:rsidR="00540BCF" w:rsidRPr="00540BCF" w:rsidRDefault="00540BCF" w:rsidP="00540BCF">
      <w:pPr>
        <w:pStyle w:val="Akapitzlist"/>
        <w:numPr>
          <w:ilvl w:val="0"/>
          <w:numId w:val="13"/>
        </w:numPr>
        <w:spacing w:after="0" w:line="300" w:lineRule="auto"/>
        <w:jc w:val="both"/>
        <w:rPr>
          <w:rFonts w:ascii="Arial" w:eastAsia="Calibri" w:hAnsi="Arial" w:cs="Arial"/>
        </w:rPr>
      </w:pPr>
      <w:r w:rsidRPr="00540BCF">
        <w:rPr>
          <w:rFonts w:ascii="Arial" w:eastAsia="Calibri" w:hAnsi="Arial" w:cs="Arial"/>
        </w:rPr>
        <w:t xml:space="preserve">zwiększenie efektywności operacyjnej systemu elektroenergetycznego, bezpieczeństwa i stabilności pracy sieci; </w:t>
      </w:r>
    </w:p>
    <w:p w14:paraId="01BCC628" w14:textId="6A20DCDA" w:rsidR="00540BCF" w:rsidRPr="00540BCF" w:rsidRDefault="00540BCF" w:rsidP="00540BCF">
      <w:pPr>
        <w:spacing w:after="0" w:line="300" w:lineRule="auto"/>
        <w:jc w:val="both"/>
        <w:rPr>
          <w:rFonts w:ascii="Arial" w:hAnsi="Arial" w:cs="Arial"/>
        </w:rPr>
      </w:pPr>
      <w:r w:rsidRPr="00540BCF">
        <w:rPr>
          <w:rFonts w:ascii="Arial" w:eastAsia="Calibri" w:hAnsi="Arial" w:cs="Arial"/>
        </w:rPr>
        <w:t>umożliwienie realizacji celów polityki energetycznej i klimatycznej państwa poprzez zwiększenie integracji odnawialnych źródeł energii w systemie.</w:t>
      </w:r>
    </w:p>
    <w:p w14:paraId="6D1C7B5A" w14:textId="77777777" w:rsidR="005607A6" w:rsidRDefault="005607A6" w:rsidP="005607A6">
      <w:pPr>
        <w:spacing w:after="0" w:line="300" w:lineRule="auto"/>
        <w:jc w:val="both"/>
        <w:rPr>
          <w:rFonts w:ascii="Arial" w:hAnsi="Arial" w:cs="Arial"/>
        </w:rPr>
      </w:pPr>
    </w:p>
    <w:p w14:paraId="36CAEC30" w14:textId="77777777" w:rsidR="00540BCF" w:rsidRPr="00540BCF" w:rsidRDefault="00540BCF" w:rsidP="00540BCF">
      <w:pPr>
        <w:spacing w:after="0" w:line="300" w:lineRule="auto"/>
        <w:jc w:val="both"/>
        <w:rPr>
          <w:rFonts w:ascii="Arial" w:hAnsi="Arial" w:cs="Arial"/>
        </w:rPr>
      </w:pPr>
      <w:r w:rsidRPr="00540BCF">
        <w:rPr>
          <w:rFonts w:ascii="Arial" w:hAnsi="Arial" w:cs="Arial"/>
        </w:rPr>
        <w:t>Przedmiotowy projekt aktu prawnego wraz z Uzasadnieniem, Oceną Skutków Regulacji, Tabelą zgodności oraz Odwróconą tabelą zgodności dostępny jest na stronach Rządowego Centrum Legislacji pod adresem:</w:t>
      </w:r>
    </w:p>
    <w:p w14:paraId="19380BA2" w14:textId="43EE43E2" w:rsidR="00540BCF" w:rsidRDefault="00540BCF" w:rsidP="00540BCF">
      <w:pPr>
        <w:spacing w:after="0" w:line="300" w:lineRule="auto"/>
        <w:jc w:val="both"/>
        <w:rPr>
          <w:rFonts w:ascii="Arial" w:hAnsi="Arial" w:cs="Arial"/>
        </w:rPr>
      </w:pPr>
      <w:hyperlink r:id="rId8" w:history="1">
        <w:r w:rsidRPr="005B6167">
          <w:rPr>
            <w:rStyle w:val="Hipercze"/>
            <w:rFonts w:ascii="Arial" w:hAnsi="Arial" w:cs="Arial"/>
          </w:rPr>
          <w:t>https://legislacja.rcl.gov.pl/projekt/12410651/katalog</w:t>
        </w:r>
        <w:r w:rsidRPr="005B6167">
          <w:rPr>
            <w:rStyle w:val="Hipercze"/>
            <w:rFonts w:ascii="Arial" w:hAnsi="Arial" w:cs="Arial"/>
          </w:rPr>
          <w:t>/</w:t>
        </w:r>
        <w:r w:rsidRPr="005B6167">
          <w:rPr>
            <w:rStyle w:val="Hipercze"/>
            <w:rFonts w:ascii="Arial" w:hAnsi="Arial" w:cs="Arial"/>
          </w:rPr>
          <w:t>13205801#13205801</w:t>
        </w:r>
      </w:hyperlink>
      <w:r>
        <w:rPr>
          <w:rFonts w:ascii="Arial" w:hAnsi="Arial" w:cs="Arial"/>
        </w:rPr>
        <w:t xml:space="preserve"> </w:t>
      </w:r>
    </w:p>
    <w:p w14:paraId="2122D78D" w14:textId="77777777" w:rsidR="00540BCF" w:rsidRDefault="00540BCF" w:rsidP="00540BCF">
      <w:pPr>
        <w:spacing w:after="0" w:line="300" w:lineRule="auto"/>
        <w:jc w:val="both"/>
        <w:rPr>
          <w:rFonts w:ascii="Arial" w:hAnsi="Arial" w:cs="Arial"/>
        </w:rPr>
      </w:pPr>
    </w:p>
    <w:p w14:paraId="22C2EEE8" w14:textId="0AE2D930" w:rsidR="00540BCF" w:rsidRDefault="00540BCF" w:rsidP="00540BCF">
      <w:pPr>
        <w:spacing w:after="0" w:line="300" w:lineRule="auto"/>
        <w:jc w:val="both"/>
        <w:rPr>
          <w:rFonts w:ascii="Arial" w:hAnsi="Arial" w:cs="Arial"/>
        </w:rPr>
      </w:pPr>
      <w:r w:rsidRPr="00540BCF">
        <w:rPr>
          <w:rFonts w:ascii="Arial" w:hAnsi="Arial" w:cs="Arial"/>
        </w:rPr>
        <w:t>Projekt jest obecnie jednocześnie na etapie uzgodnień, konsultacji publicznych i opiniowania.</w:t>
      </w:r>
    </w:p>
    <w:p w14:paraId="562E63E9" w14:textId="77777777" w:rsidR="00540BCF" w:rsidRPr="005607A6" w:rsidRDefault="00540BCF" w:rsidP="005607A6">
      <w:pPr>
        <w:spacing w:after="0" w:line="300" w:lineRule="auto"/>
        <w:jc w:val="both"/>
        <w:rPr>
          <w:rFonts w:ascii="Arial" w:hAnsi="Arial" w:cs="Arial"/>
        </w:rPr>
      </w:pPr>
    </w:p>
    <w:p w14:paraId="16041AB5" w14:textId="7C83C2FD" w:rsidR="005607A6" w:rsidRPr="00645F5E" w:rsidRDefault="00645F5E" w:rsidP="005607A6">
      <w:pPr>
        <w:pStyle w:val="Akapitzlist"/>
        <w:numPr>
          <w:ilvl w:val="0"/>
          <w:numId w:val="4"/>
        </w:numPr>
        <w:spacing w:after="0" w:line="300" w:lineRule="auto"/>
        <w:jc w:val="both"/>
        <w:rPr>
          <w:rFonts w:ascii="Arial" w:hAnsi="Arial" w:cs="Arial"/>
          <w:b/>
          <w:bCs/>
          <w:u w:val="single"/>
        </w:rPr>
      </w:pPr>
      <w:r w:rsidRPr="00645F5E">
        <w:rPr>
          <w:rFonts w:ascii="Arial" w:hAnsi="Arial" w:cs="Arial"/>
          <w:b/>
          <w:bCs/>
          <w:u w:val="single"/>
        </w:rPr>
        <w:t>P</w:t>
      </w:r>
      <w:r w:rsidRPr="00645F5E">
        <w:rPr>
          <w:rFonts w:ascii="Arial" w:hAnsi="Arial" w:cs="Arial"/>
          <w:b/>
          <w:bCs/>
          <w:u w:val="single"/>
        </w:rPr>
        <w:t>rojekt rozporządzenia Rady Ministrów w sprawie progów uznania incydentu za istotny (RC20).</w:t>
      </w:r>
    </w:p>
    <w:p w14:paraId="15AAEEEB" w14:textId="77777777" w:rsidR="005607A6" w:rsidRDefault="005607A6" w:rsidP="005607A6">
      <w:pPr>
        <w:spacing w:after="0" w:line="300" w:lineRule="auto"/>
        <w:jc w:val="both"/>
        <w:rPr>
          <w:rFonts w:ascii="Arial" w:hAnsi="Arial" w:cs="Arial"/>
        </w:rPr>
      </w:pPr>
    </w:p>
    <w:p w14:paraId="17792361" w14:textId="77777777" w:rsidR="00645F5E" w:rsidRPr="00645F5E" w:rsidRDefault="00645F5E" w:rsidP="00645F5E">
      <w:pPr>
        <w:spacing w:after="0" w:line="300" w:lineRule="auto"/>
        <w:jc w:val="both"/>
        <w:rPr>
          <w:rFonts w:ascii="Arial" w:hAnsi="Arial" w:cs="Arial"/>
        </w:rPr>
      </w:pPr>
      <w:r w:rsidRPr="00645F5E">
        <w:rPr>
          <w:rFonts w:ascii="Arial" w:hAnsi="Arial" w:cs="Arial"/>
        </w:rPr>
        <w:t xml:space="preserve">Celem projektowanych rozwiązań jest wskazanie progów uznania incydentów za istotny przez podmioty krytyczne.  </w:t>
      </w:r>
    </w:p>
    <w:p w14:paraId="1D4F1103" w14:textId="77777777" w:rsidR="00645F5E" w:rsidRPr="00645F5E" w:rsidRDefault="00645F5E" w:rsidP="00645F5E">
      <w:pPr>
        <w:spacing w:after="0" w:line="300" w:lineRule="auto"/>
        <w:jc w:val="both"/>
        <w:rPr>
          <w:rFonts w:ascii="Arial" w:hAnsi="Arial" w:cs="Arial"/>
        </w:rPr>
      </w:pPr>
      <w:r w:rsidRPr="00645F5E">
        <w:rPr>
          <w:rFonts w:ascii="Arial" w:hAnsi="Arial" w:cs="Arial"/>
        </w:rPr>
        <w:t xml:space="preserve">Podmioty krytyczne identyfikując incydent i rejestrując go, będą dokonywali klasyfikacji incydentu na podstawie progów uznawania incydentu za istotny.  </w:t>
      </w:r>
    </w:p>
    <w:p w14:paraId="7D4C7295" w14:textId="77777777" w:rsidR="00645F5E" w:rsidRPr="00645F5E" w:rsidRDefault="00645F5E" w:rsidP="00645F5E">
      <w:pPr>
        <w:spacing w:after="0" w:line="300" w:lineRule="auto"/>
        <w:jc w:val="both"/>
        <w:rPr>
          <w:rFonts w:ascii="Arial" w:hAnsi="Arial" w:cs="Arial"/>
        </w:rPr>
      </w:pPr>
      <w:r w:rsidRPr="00645F5E">
        <w:rPr>
          <w:rFonts w:ascii="Arial" w:hAnsi="Arial" w:cs="Arial"/>
        </w:rPr>
        <w:t>Dlatego też w ustawie zawarto upoważnienie ustawowe, w którym Rada Ministrów określi, w drodze rozporządzenia  progi uznania incydentu za istotny według zdarzenia w poszczególnych sektorach i podsektorach określonych w załączniku do ustawy uwzględniają liczbę użytkowników dotkniętych zakłóceniem, czas trwania zakłócenia usługi kluczowej, obszar geograficzny, którego dotyczy zakłócenie biorąc pod uwagę stopień odizolowania geograficznego, inne czynniki charakterystyczne dla danego sektora lub podsektora, jeżeli występują - kierując się potrzebą zapewnienia ochrony przed zagrożeniami życia lub zdrowia ludzi, znacznymi stratami majątkowymi oraz zagrożeniem obniżenia jakości świadczonej usługi kluczowej.</w:t>
      </w:r>
    </w:p>
    <w:p w14:paraId="78D4BDCE" w14:textId="77777777" w:rsidR="00645F5E" w:rsidRPr="00645F5E" w:rsidRDefault="00645F5E" w:rsidP="00645F5E">
      <w:pPr>
        <w:spacing w:after="0" w:line="300" w:lineRule="auto"/>
        <w:jc w:val="both"/>
        <w:rPr>
          <w:rFonts w:ascii="Arial" w:hAnsi="Arial" w:cs="Arial"/>
        </w:rPr>
      </w:pPr>
      <w:r w:rsidRPr="00645F5E">
        <w:rPr>
          <w:rFonts w:ascii="Arial" w:hAnsi="Arial" w:cs="Arial"/>
        </w:rPr>
        <w:t xml:space="preserve">Konieczne jest wydanie rozporządzenia określającego progi uznania incydentu za istotny dla świadczenia usług kluczowych. </w:t>
      </w:r>
    </w:p>
    <w:p w14:paraId="14827576" w14:textId="77777777" w:rsidR="00645F5E" w:rsidRPr="00645F5E" w:rsidRDefault="00645F5E" w:rsidP="00645F5E">
      <w:pPr>
        <w:spacing w:after="0" w:line="300" w:lineRule="auto"/>
        <w:jc w:val="both"/>
        <w:rPr>
          <w:rFonts w:ascii="Arial" w:hAnsi="Arial" w:cs="Arial"/>
        </w:rPr>
      </w:pPr>
      <w:r w:rsidRPr="00645F5E">
        <w:rPr>
          <w:rFonts w:ascii="Arial" w:hAnsi="Arial" w:cs="Arial"/>
        </w:rPr>
        <w:lastRenderedPageBreak/>
        <w:t xml:space="preserve">Progi uznania incydentu za istotny według zdarzenia w poszczególnych sektorach i podsektorach został sporządzony w oparciu o usługi kluczowe wskazane przez organy właściwe organy do spraw podmiotów krytycznych. </w:t>
      </w:r>
    </w:p>
    <w:p w14:paraId="2B91BA1D" w14:textId="6BE0D973" w:rsidR="005607A6" w:rsidRDefault="00645F5E" w:rsidP="00645F5E">
      <w:pPr>
        <w:spacing w:after="0" w:line="300" w:lineRule="auto"/>
        <w:jc w:val="both"/>
        <w:rPr>
          <w:rFonts w:ascii="Arial" w:hAnsi="Arial" w:cs="Arial"/>
        </w:rPr>
      </w:pPr>
      <w:r w:rsidRPr="00645F5E">
        <w:rPr>
          <w:rFonts w:ascii="Arial" w:hAnsi="Arial" w:cs="Arial"/>
        </w:rPr>
        <w:t>Proces zgłaszania incydentów opisany został art. 6zv ustawy – określający sposób zarządzania incydentem przez podmiot krytyczny.</w:t>
      </w:r>
    </w:p>
    <w:p w14:paraId="0B986B8E" w14:textId="77777777" w:rsidR="00645F5E" w:rsidRDefault="00645F5E" w:rsidP="00645F5E">
      <w:pPr>
        <w:spacing w:after="0" w:line="300" w:lineRule="auto"/>
        <w:jc w:val="both"/>
        <w:rPr>
          <w:rFonts w:ascii="Arial" w:hAnsi="Arial" w:cs="Arial"/>
        </w:rPr>
      </w:pPr>
    </w:p>
    <w:p w14:paraId="50DE0AAF" w14:textId="77777777" w:rsidR="00645F5E" w:rsidRPr="00645F5E" w:rsidRDefault="00645F5E" w:rsidP="00645F5E">
      <w:pPr>
        <w:spacing w:after="0" w:line="300" w:lineRule="auto"/>
        <w:jc w:val="both"/>
        <w:rPr>
          <w:rFonts w:ascii="Arial" w:hAnsi="Arial" w:cs="Arial"/>
        </w:rPr>
      </w:pPr>
      <w:r w:rsidRPr="00645F5E">
        <w:rPr>
          <w:rFonts w:ascii="Arial" w:hAnsi="Arial" w:cs="Arial"/>
        </w:rPr>
        <w:t>Przedmiotowy projekt aktu prawnego wraz z Załącznikiem, Uzasadnieniem oraz Oceną Skutków Regulacji dostępny jest na stronach Rządowego Centrum Legislacji pod adresem:</w:t>
      </w:r>
    </w:p>
    <w:p w14:paraId="7704189D" w14:textId="19048EE9" w:rsidR="00645F5E" w:rsidRDefault="00645F5E" w:rsidP="00645F5E">
      <w:pPr>
        <w:spacing w:after="0" w:line="300" w:lineRule="auto"/>
        <w:jc w:val="both"/>
        <w:rPr>
          <w:rFonts w:ascii="Arial" w:hAnsi="Arial" w:cs="Arial"/>
        </w:rPr>
      </w:pPr>
      <w:hyperlink r:id="rId9" w:history="1">
        <w:r w:rsidRPr="005B6167">
          <w:rPr>
            <w:rStyle w:val="Hipercze"/>
            <w:rFonts w:ascii="Arial" w:hAnsi="Arial" w:cs="Arial"/>
          </w:rPr>
          <w:t>https://legislacja.rcl.gov.pl/projekt/12410800</w:t>
        </w:r>
        <w:r w:rsidRPr="005B6167">
          <w:rPr>
            <w:rStyle w:val="Hipercze"/>
            <w:rFonts w:ascii="Arial" w:hAnsi="Arial" w:cs="Arial"/>
          </w:rPr>
          <w:t>/</w:t>
        </w:r>
        <w:r w:rsidRPr="005B6167">
          <w:rPr>
            <w:rStyle w:val="Hipercze"/>
            <w:rFonts w:ascii="Arial" w:hAnsi="Arial" w:cs="Arial"/>
          </w:rPr>
          <w:t>katalog/13206258#13206258</w:t>
        </w:r>
      </w:hyperlink>
      <w:r>
        <w:rPr>
          <w:rFonts w:ascii="Arial" w:hAnsi="Arial" w:cs="Arial"/>
        </w:rPr>
        <w:t xml:space="preserve"> </w:t>
      </w:r>
    </w:p>
    <w:p w14:paraId="5CFC8BD6" w14:textId="77777777" w:rsidR="00645F5E" w:rsidRDefault="00645F5E" w:rsidP="00645F5E">
      <w:pPr>
        <w:spacing w:after="0" w:line="300" w:lineRule="auto"/>
        <w:jc w:val="both"/>
        <w:rPr>
          <w:rFonts w:ascii="Arial" w:hAnsi="Arial" w:cs="Arial"/>
        </w:rPr>
      </w:pPr>
    </w:p>
    <w:p w14:paraId="536ED790" w14:textId="613C991B" w:rsidR="00645F5E" w:rsidRDefault="00645F5E" w:rsidP="00645F5E">
      <w:pPr>
        <w:spacing w:after="0" w:line="300" w:lineRule="auto"/>
        <w:jc w:val="both"/>
        <w:rPr>
          <w:rFonts w:ascii="Arial" w:hAnsi="Arial" w:cs="Arial"/>
        </w:rPr>
      </w:pPr>
      <w:r w:rsidRPr="00645F5E">
        <w:rPr>
          <w:rFonts w:ascii="Arial" w:hAnsi="Arial" w:cs="Arial"/>
        </w:rPr>
        <w:t>Projekt jest obecnie jednocześnie na etapie uzgodnień, konsultacji publicznych i opiniowania.</w:t>
      </w:r>
    </w:p>
    <w:p w14:paraId="3883111B" w14:textId="77777777" w:rsidR="00645F5E" w:rsidRPr="005607A6" w:rsidRDefault="00645F5E" w:rsidP="005607A6">
      <w:pPr>
        <w:spacing w:after="0" w:line="300" w:lineRule="auto"/>
        <w:jc w:val="both"/>
        <w:rPr>
          <w:rFonts w:ascii="Arial" w:hAnsi="Arial" w:cs="Arial"/>
        </w:rPr>
      </w:pPr>
    </w:p>
    <w:p w14:paraId="463951D0" w14:textId="263F37C9" w:rsidR="005607A6" w:rsidRPr="00D64ACA" w:rsidRDefault="00D64ACA" w:rsidP="000B5F44">
      <w:pPr>
        <w:pStyle w:val="Akapitzlist"/>
        <w:numPr>
          <w:ilvl w:val="0"/>
          <w:numId w:val="4"/>
        </w:numPr>
        <w:spacing w:after="0" w:line="300" w:lineRule="auto"/>
        <w:jc w:val="both"/>
        <w:rPr>
          <w:rFonts w:ascii="Arial" w:hAnsi="Arial" w:cs="Arial"/>
          <w:b/>
          <w:bCs/>
          <w:u w:val="single"/>
        </w:rPr>
      </w:pPr>
      <w:r w:rsidRPr="00D64ACA">
        <w:rPr>
          <w:rFonts w:ascii="Arial" w:hAnsi="Arial" w:cs="Arial"/>
          <w:b/>
          <w:bCs/>
          <w:u w:val="single"/>
        </w:rPr>
        <w:t>P</w:t>
      </w:r>
      <w:r w:rsidRPr="00D64ACA">
        <w:rPr>
          <w:rFonts w:ascii="Arial" w:hAnsi="Arial" w:cs="Arial"/>
          <w:b/>
          <w:bCs/>
          <w:u w:val="single"/>
        </w:rPr>
        <w:t>rojekt rozporządzenia Rady Ministrów w sprawie wykazu usług kluczowych oraz progów istotności skutku zakłócającego dla świadczenia usług kluczowych (RC21).</w:t>
      </w:r>
    </w:p>
    <w:p w14:paraId="609874A1" w14:textId="77777777" w:rsidR="005607A6" w:rsidRPr="00D64ACA" w:rsidRDefault="005607A6" w:rsidP="00D64ACA">
      <w:pPr>
        <w:spacing w:after="0" w:line="300" w:lineRule="auto"/>
        <w:jc w:val="both"/>
        <w:rPr>
          <w:rFonts w:ascii="Arial" w:hAnsi="Arial" w:cs="Arial"/>
        </w:rPr>
      </w:pPr>
    </w:p>
    <w:p w14:paraId="33AA4AA3" w14:textId="77777777" w:rsidR="00D64ACA" w:rsidRPr="00D64ACA" w:rsidRDefault="00D64ACA" w:rsidP="00D64ACA">
      <w:pPr>
        <w:spacing w:after="0" w:line="300" w:lineRule="auto"/>
        <w:jc w:val="both"/>
        <w:rPr>
          <w:rFonts w:ascii="Arial" w:eastAsia="Calibri" w:hAnsi="Arial" w:cs="Arial"/>
        </w:rPr>
      </w:pPr>
      <w:r w:rsidRPr="00D64ACA">
        <w:rPr>
          <w:rFonts w:ascii="Arial" w:eastAsia="Calibri" w:hAnsi="Arial" w:cs="Arial"/>
        </w:rPr>
        <w:t xml:space="preserve">Celem projektowanych rozwiązań jest identyfikacja podmiotów krytycznych przez organy do spraw podmiotów krytycznych. Uznanie operatora infrastruktury krytycznej za podmiot krytyczny nastąpi w przypadku dokonania jego wpisu do wykazu podmiotów krytycznych.   </w:t>
      </w:r>
    </w:p>
    <w:p w14:paraId="26FE1580" w14:textId="77777777" w:rsidR="00D64ACA" w:rsidRPr="00D64ACA" w:rsidRDefault="00D64ACA" w:rsidP="00D64ACA">
      <w:pPr>
        <w:spacing w:after="0" w:line="300" w:lineRule="auto"/>
        <w:jc w:val="both"/>
        <w:rPr>
          <w:rFonts w:ascii="Arial" w:eastAsia="Calibri" w:hAnsi="Arial" w:cs="Arial"/>
        </w:rPr>
      </w:pPr>
      <w:r w:rsidRPr="00D64ACA">
        <w:rPr>
          <w:rFonts w:ascii="Arial" w:eastAsia="Calibri" w:hAnsi="Arial" w:cs="Arial"/>
        </w:rPr>
        <w:t xml:space="preserve">Projektowana regulacja zapewnia identyfikacje podmiotu krytycznego w przypadku, gdy: </w:t>
      </w:r>
    </w:p>
    <w:p w14:paraId="7C8B9182" w14:textId="77777777" w:rsidR="00D64ACA" w:rsidRPr="00D64ACA" w:rsidRDefault="00D64ACA" w:rsidP="00D64ACA">
      <w:pPr>
        <w:pStyle w:val="Akapitzlist"/>
        <w:numPr>
          <w:ilvl w:val="0"/>
          <w:numId w:val="14"/>
        </w:numPr>
        <w:spacing w:after="0" w:line="300" w:lineRule="auto"/>
        <w:jc w:val="both"/>
        <w:rPr>
          <w:rFonts w:ascii="Arial" w:eastAsia="Calibri" w:hAnsi="Arial" w:cs="Arial"/>
        </w:rPr>
      </w:pPr>
      <w:r w:rsidRPr="00D64ACA">
        <w:rPr>
          <w:rFonts w:ascii="Arial" w:eastAsia="Calibri" w:hAnsi="Arial" w:cs="Arial"/>
        </w:rPr>
        <w:t xml:space="preserve">świadczy co najmniej jedną usługę kluczową; </w:t>
      </w:r>
    </w:p>
    <w:p w14:paraId="115A2968" w14:textId="77777777" w:rsidR="00D64ACA" w:rsidRPr="00D64ACA" w:rsidRDefault="00D64ACA" w:rsidP="00D64ACA">
      <w:pPr>
        <w:pStyle w:val="Akapitzlist"/>
        <w:numPr>
          <w:ilvl w:val="0"/>
          <w:numId w:val="14"/>
        </w:numPr>
        <w:spacing w:after="0" w:line="300" w:lineRule="auto"/>
        <w:jc w:val="both"/>
        <w:rPr>
          <w:rFonts w:ascii="Arial" w:eastAsia="Calibri" w:hAnsi="Arial" w:cs="Arial"/>
        </w:rPr>
      </w:pPr>
      <w:r w:rsidRPr="00D64ACA">
        <w:rPr>
          <w:rFonts w:ascii="Arial" w:eastAsia="Calibri" w:hAnsi="Arial" w:cs="Arial"/>
        </w:rPr>
        <w:t xml:space="preserve">incydent miałby istotny skutek zakłócający dla świadczenia usługi kluczowej.     </w:t>
      </w:r>
    </w:p>
    <w:p w14:paraId="4AF333F4" w14:textId="77777777" w:rsidR="00D64ACA" w:rsidRPr="00D64ACA" w:rsidRDefault="00D64ACA" w:rsidP="00D64ACA">
      <w:pPr>
        <w:spacing w:after="0" w:line="300" w:lineRule="auto"/>
        <w:jc w:val="both"/>
        <w:rPr>
          <w:rFonts w:ascii="Arial" w:eastAsia="Calibri" w:hAnsi="Arial" w:cs="Arial"/>
        </w:rPr>
      </w:pPr>
      <w:r w:rsidRPr="00D64ACA">
        <w:rPr>
          <w:rFonts w:ascii="Arial" w:eastAsia="Calibri" w:hAnsi="Arial" w:cs="Arial"/>
        </w:rPr>
        <w:t>Dlatego też w ustawie zawarto upoważnienie ustawowe, w którym Rada Ministrów określi, w drodze rozporządzenia wykaz usług kluczowych w podziale na sektory, podsektory i kategorie podmiotów wymienionych w załączniku do ustawy oraz progi istotności skutku zakłócającego dla świadczenia usług kluczowych, wymienionych w wykazie usług kluczowych.</w:t>
      </w:r>
    </w:p>
    <w:p w14:paraId="6F1CE1D1" w14:textId="77777777" w:rsidR="00D64ACA" w:rsidRPr="00D64ACA" w:rsidRDefault="00D64ACA" w:rsidP="00D64ACA">
      <w:pPr>
        <w:spacing w:after="0" w:line="300" w:lineRule="auto"/>
        <w:jc w:val="both"/>
        <w:rPr>
          <w:rFonts w:ascii="Arial" w:eastAsia="Calibri" w:hAnsi="Arial" w:cs="Arial"/>
        </w:rPr>
      </w:pPr>
      <w:r w:rsidRPr="00D64ACA">
        <w:rPr>
          <w:rFonts w:ascii="Arial" w:eastAsia="Calibri" w:hAnsi="Arial" w:cs="Arial"/>
        </w:rPr>
        <w:t xml:space="preserve">Konieczne jest wydanie rozporządzenia zawierającego wykaz usług kluczowych oraz progi istotności skutku zakłócającego dla świadczenia usług kluczowych, które są niezbędne do identyfikacji podmiotów krytycznych w celu wpisania ich do wykazu podmiotów krytycznych, a tym samym nałożenia obowiązków wynikających z ustawy o zarządzaniu kryzysowym.  </w:t>
      </w:r>
    </w:p>
    <w:p w14:paraId="6EB5309B" w14:textId="42100862" w:rsidR="005607A6" w:rsidRDefault="00D64ACA" w:rsidP="00D64ACA">
      <w:pPr>
        <w:spacing w:after="0" w:line="300" w:lineRule="auto"/>
        <w:jc w:val="both"/>
        <w:rPr>
          <w:rFonts w:ascii="Arial" w:eastAsia="Calibri" w:hAnsi="Arial" w:cs="Arial"/>
        </w:rPr>
      </w:pPr>
      <w:r w:rsidRPr="00D64ACA">
        <w:rPr>
          <w:rFonts w:ascii="Arial" w:eastAsia="Calibri" w:hAnsi="Arial" w:cs="Arial"/>
        </w:rPr>
        <w:t>Wykaz usług kluczowych będzie wykorzystywany przez organy do spraw podmiotów krytycznych do wyłaniania podmiotów w poszczególnych sektorach i podsektorach. W procesie ujmowania w wykazie organy właściwe będą dokonywać oceny, czy określona usługa znajduje się w załączniku do niniejszego rozporządzenia. W kolejnych krokach w oparciu o stworzony wykaz właściwy organ będzie określał jaki jest poziom skutku zakłócającego dla świadczonej usługi kluczowej.</w:t>
      </w:r>
    </w:p>
    <w:p w14:paraId="3A3A6525" w14:textId="77777777" w:rsidR="00D64ACA" w:rsidRDefault="00D64ACA" w:rsidP="00D64ACA">
      <w:pPr>
        <w:spacing w:after="0" w:line="300" w:lineRule="auto"/>
        <w:jc w:val="both"/>
        <w:rPr>
          <w:rFonts w:ascii="Arial" w:eastAsia="Calibri" w:hAnsi="Arial" w:cs="Arial"/>
        </w:rPr>
      </w:pPr>
    </w:p>
    <w:p w14:paraId="4F4CC39C" w14:textId="77777777" w:rsidR="00D64ACA" w:rsidRPr="00D64ACA" w:rsidRDefault="00D64ACA" w:rsidP="00D64ACA">
      <w:pPr>
        <w:spacing w:after="0" w:line="300" w:lineRule="auto"/>
        <w:jc w:val="both"/>
        <w:rPr>
          <w:rFonts w:ascii="Arial" w:hAnsi="Arial" w:cs="Arial"/>
        </w:rPr>
      </w:pPr>
      <w:r w:rsidRPr="00D64ACA">
        <w:rPr>
          <w:rFonts w:ascii="Arial" w:hAnsi="Arial" w:cs="Arial"/>
        </w:rPr>
        <w:t>Przedmiotowy projekt aktu prawnego wraz z Załącznikiem, Uzasadnieniem, Oceną Skutków Regulacji oraz Załącznikiem do OSR dostępny jest na stronach Rządowego Centrum Legislacji pod adresem:</w:t>
      </w:r>
    </w:p>
    <w:p w14:paraId="57D040A0" w14:textId="2245A689" w:rsidR="00D64ACA" w:rsidRDefault="00D64ACA" w:rsidP="00D64ACA">
      <w:pPr>
        <w:spacing w:after="0" w:line="300" w:lineRule="auto"/>
        <w:jc w:val="both"/>
        <w:rPr>
          <w:rFonts w:ascii="Arial" w:hAnsi="Arial" w:cs="Arial"/>
        </w:rPr>
      </w:pPr>
      <w:hyperlink r:id="rId10" w:history="1">
        <w:r w:rsidRPr="005B6167">
          <w:rPr>
            <w:rStyle w:val="Hipercze"/>
            <w:rFonts w:ascii="Arial" w:hAnsi="Arial" w:cs="Arial"/>
          </w:rPr>
          <w:t>https://legislacja.rcl.gov.pl/projekt/12410803/ka</w:t>
        </w:r>
        <w:r w:rsidRPr="005B6167">
          <w:rPr>
            <w:rStyle w:val="Hipercze"/>
            <w:rFonts w:ascii="Arial" w:hAnsi="Arial" w:cs="Arial"/>
          </w:rPr>
          <w:t>t</w:t>
        </w:r>
        <w:r w:rsidRPr="005B6167">
          <w:rPr>
            <w:rStyle w:val="Hipercze"/>
            <w:rFonts w:ascii="Arial" w:hAnsi="Arial" w:cs="Arial"/>
          </w:rPr>
          <w:t>alog/13206418#13206418</w:t>
        </w:r>
      </w:hyperlink>
      <w:r>
        <w:rPr>
          <w:rFonts w:ascii="Arial" w:hAnsi="Arial" w:cs="Arial"/>
        </w:rPr>
        <w:t xml:space="preserve"> </w:t>
      </w:r>
    </w:p>
    <w:p w14:paraId="2D9BE881" w14:textId="77777777" w:rsidR="00D64ACA" w:rsidRDefault="00D64ACA" w:rsidP="00D64ACA">
      <w:pPr>
        <w:spacing w:after="0" w:line="300" w:lineRule="auto"/>
        <w:jc w:val="both"/>
        <w:rPr>
          <w:rFonts w:ascii="Arial" w:hAnsi="Arial" w:cs="Arial"/>
        </w:rPr>
      </w:pPr>
    </w:p>
    <w:p w14:paraId="3AF9901F" w14:textId="11DBD1AE" w:rsidR="00D64ACA" w:rsidRPr="00D64ACA" w:rsidRDefault="00D64ACA" w:rsidP="00D64ACA">
      <w:pPr>
        <w:spacing w:after="0" w:line="300" w:lineRule="auto"/>
        <w:jc w:val="both"/>
        <w:rPr>
          <w:rFonts w:ascii="Arial" w:hAnsi="Arial" w:cs="Arial"/>
        </w:rPr>
      </w:pPr>
      <w:r w:rsidRPr="00D64ACA">
        <w:rPr>
          <w:rFonts w:ascii="Arial" w:hAnsi="Arial" w:cs="Arial"/>
        </w:rPr>
        <w:t>Projekt jest obecnie jednocześnie na etapie uzgodnień, konsultacji publicznych i opiniowania.</w:t>
      </w:r>
    </w:p>
    <w:p w14:paraId="57A3E067" w14:textId="77777777" w:rsidR="005607A6" w:rsidRPr="005607A6" w:rsidRDefault="005607A6" w:rsidP="005607A6">
      <w:pPr>
        <w:spacing w:after="0" w:line="300" w:lineRule="auto"/>
        <w:jc w:val="both"/>
        <w:rPr>
          <w:rFonts w:ascii="Arial" w:hAnsi="Arial" w:cs="Arial"/>
        </w:rPr>
      </w:pPr>
    </w:p>
    <w:p w14:paraId="65CDE947" w14:textId="3BA0428D" w:rsidR="005607A6" w:rsidRPr="00D64ACA" w:rsidRDefault="00D64ACA" w:rsidP="000B5F44">
      <w:pPr>
        <w:pStyle w:val="Akapitzlist"/>
        <w:numPr>
          <w:ilvl w:val="0"/>
          <w:numId w:val="4"/>
        </w:numPr>
        <w:spacing w:after="0" w:line="300" w:lineRule="auto"/>
        <w:jc w:val="both"/>
        <w:rPr>
          <w:rFonts w:ascii="Arial" w:hAnsi="Arial" w:cs="Arial"/>
          <w:b/>
          <w:bCs/>
          <w:u w:val="single"/>
        </w:rPr>
      </w:pPr>
      <w:r w:rsidRPr="00D64ACA">
        <w:rPr>
          <w:rFonts w:ascii="Arial" w:hAnsi="Arial" w:cs="Arial"/>
          <w:b/>
          <w:bCs/>
          <w:u w:val="single"/>
        </w:rPr>
        <w:lastRenderedPageBreak/>
        <w:t>P</w:t>
      </w:r>
      <w:r w:rsidRPr="00D64ACA">
        <w:rPr>
          <w:rFonts w:ascii="Arial" w:hAnsi="Arial" w:cs="Arial"/>
          <w:b/>
          <w:bCs/>
          <w:u w:val="single"/>
        </w:rPr>
        <w:t xml:space="preserve">rojekt rozporządzenia Rady Ministrów w sprawie minimalnych wymagań w zakresie bezpieczeństwa fizycznego, technicznego, osobowego, </w:t>
      </w:r>
      <w:proofErr w:type="spellStart"/>
      <w:r w:rsidRPr="00D64ACA">
        <w:rPr>
          <w:rFonts w:ascii="Arial" w:hAnsi="Arial" w:cs="Arial"/>
          <w:b/>
          <w:bCs/>
          <w:u w:val="single"/>
        </w:rPr>
        <w:t>cyberbezpieczeństwa</w:t>
      </w:r>
      <w:proofErr w:type="spellEnd"/>
      <w:r w:rsidRPr="00D64ACA">
        <w:rPr>
          <w:rFonts w:ascii="Arial" w:hAnsi="Arial" w:cs="Arial"/>
          <w:b/>
          <w:bCs/>
          <w:u w:val="single"/>
        </w:rPr>
        <w:t>, prawnego oraz ciągłości działania infrastruktury krytycznej (RD301).</w:t>
      </w:r>
    </w:p>
    <w:p w14:paraId="3CB55273" w14:textId="77777777" w:rsidR="005607A6" w:rsidRPr="00D64ACA" w:rsidRDefault="005607A6" w:rsidP="00D64ACA">
      <w:pPr>
        <w:spacing w:after="0" w:line="300" w:lineRule="auto"/>
        <w:jc w:val="both"/>
        <w:rPr>
          <w:rFonts w:ascii="Arial" w:hAnsi="Arial" w:cs="Arial"/>
        </w:rPr>
      </w:pPr>
    </w:p>
    <w:p w14:paraId="1FE4787B" w14:textId="77777777" w:rsidR="00D64ACA" w:rsidRPr="00D64ACA" w:rsidRDefault="00D64ACA" w:rsidP="00D64ACA">
      <w:pPr>
        <w:spacing w:after="0" w:line="300" w:lineRule="auto"/>
        <w:jc w:val="both"/>
        <w:rPr>
          <w:rFonts w:ascii="Arial" w:eastAsia="Calibri" w:hAnsi="Arial" w:cs="Arial"/>
        </w:rPr>
      </w:pPr>
      <w:r w:rsidRPr="00D64ACA">
        <w:rPr>
          <w:rFonts w:ascii="Arial" w:eastAsia="Calibri" w:hAnsi="Arial" w:cs="Arial"/>
        </w:rPr>
        <w:t xml:space="preserve">Celem projektowanej regulacji jest wprowadzenie jednolitych, minimalnych, wymagań dla operatorów infrastruktury krytycznej w sześciu obszarach bezpieczeństwa, tj. fizycznym, technicznym, osobowym, </w:t>
      </w:r>
      <w:proofErr w:type="spellStart"/>
      <w:r w:rsidRPr="00D64ACA">
        <w:rPr>
          <w:rFonts w:ascii="Arial" w:eastAsia="Calibri" w:hAnsi="Arial" w:cs="Arial"/>
        </w:rPr>
        <w:t>cyberbezpieczeństwa</w:t>
      </w:r>
      <w:proofErr w:type="spellEnd"/>
      <w:r w:rsidRPr="00D64ACA">
        <w:rPr>
          <w:rFonts w:ascii="Arial" w:eastAsia="Calibri" w:hAnsi="Arial" w:cs="Arial"/>
        </w:rPr>
        <w:t xml:space="preserve">, prawnym oraz ciągłości działania.   </w:t>
      </w:r>
    </w:p>
    <w:p w14:paraId="1AEED164" w14:textId="77777777" w:rsidR="00D64ACA" w:rsidRPr="00D64ACA" w:rsidRDefault="00D64ACA" w:rsidP="00D64ACA">
      <w:pPr>
        <w:spacing w:after="0" w:line="300" w:lineRule="auto"/>
        <w:jc w:val="both"/>
        <w:rPr>
          <w:rFonts w:ascii="Arial" w:eastAsia="Calibri" w:hAnsi="Arial" w:cs="Arial"/>
        </w:rPr>
      </w:pPr>
      <w:r w:rsidRPr="00D64ACA">
        <w:rPr>
          <w:rFonts w:ascii="Arial" w:eastAsia="Calibri" w:hAnsi="Arial" w:cs="Arial"/>
        </w:rPr>
        <w:t xml:space="preserve">Dotychczasowe podejście oparte na zaleceniach i dobrych praktykach (vide załącznik 1 do NPOIK Standardy służące zapewnieniu sprawnego funkcjonowania infrastruktury krytycznej – dobre praktyki i rekomendacje) nie zapewniało dostatecznego przełożenia na praktykę zamówień, inwestycji i utrzymania środków ochrony, co skutkowało zróżnicowaniem standardów, rozbieżnościami interpretacyjnymi oraz utrzymywaniem się luk bezpieczeństwa w obszarach wymagających zintegrowanego podejścia.  </w:t>
      </w:r>
    </w:p>
    <w:p w14:paraId="56E3A079" w14:textId="77777777" w:rsidR="00D64ACA" w:rsidRPr="00D64ACA" w:rsidRDefault="00D64ACA" w:rsidP="00D64ACA">
      <w:pPr>
        <w:spacing w:after="0" w:line="300" w:lineRule="auto"/>
        <w:jc w:val="both"/>
        <w:rPr>
          <w:rFonts w:ascii="Arial" w:eastAsia="Calibri" w:hAnsi="Arial" w:cs="Arial"/>
        </w:rPr>
      </w:pPr>
      <w:r w:rsidRPr="00D64ACA">
        <w:rPr>
          <w:rFonts w:ascii="Arial" w:eastAsia="Calibri" w:hAnsi="Arial" w:cs="Arial"/>
        </w:rPr>
        <w:t>Problem ma wymiar praktyczny – operatorzy infrastruktury krytycznej są zobowiązani do prowadzenia analizy zagrożeń i wdrażania adekwatnych rozwiązań, lecz bez minimalnego standardu wykonawczego trudniej jest zapewnić porównywalność, kontrolowalność i skuteczność wdrażanych środków oraz ograniczać ryzyko zakłóceń o skutkach kaskadowych.</w:t>
      </w:r>
    </w:p>
    <w:p w14:paraId="7590362B" w14:textId="77777777" w:rsidR="00D64ACA" w:rsidRPr="00D64ACA" w:rsidRDefault="00D64ACA" w:rsidP="00D64ACA">
      <w:pPr>
        <w:spacing w:after="0" w:line="300" w:lineRule="auto"/>
        <w:jc w:val="both"/>
        <w:rPr>
          <w:rFonts w:ascii="Arial" w:eastAsia="Calibri" w:hAnsi="Arial" w:cs="Arial"/>
        </w:rPr>
      </w:pPr>
      <w:r w:rsidRPr="00D64ACA">
        <w:rPr>
          <w:rFonts w:ascii="Arial" w:eastAsia="Calibri" w:hAnsi="Arial" w:cs="Arial"/>
        </w:rPr>
        <w:t xml:space="preserve">Rekomendowanym rozwiązaniem jest wydanie rozporządzenia określającego minimalne wymagania w sześciu obszarach bezpieczeństwa infrastruktury krytycznej o charakterze funkcjonalnym, wdrażane adekwatnie do wyników analizy zagrożeń. </w:t>
      </w:r>
    </w:p>
    <w:p w14:paraId="387B0542" w14:textId="77777777" w:rsidR="00D64ACA" w:rsidRPr="00D64ACA" w:rsidRDefault="00D64ACA" w:rsidP="00D64ACA">
      <w:pPr>
        <w:spacing w:after="0" w:line="300" w:lineRule="auto"/>
        <w:jc w:val="both"/>
        <w:rPr>
          <w:rFonts w:ascii="Arial" w:eastAsia="Calibri" w:hAnsi="Arial" w:cs="Arial"/>
        </w:rPr>
      </w:pPr>
      <w:r w:rsidRPr="00D64ACA">
        <w:rPr>
          <w:rFonts w:ascii="Arial" w:eastAsia="Calibri" w:hAnsi="Arial" w:cs="Arial"/>
        </w:rPr>
        <w:t xml:space="preserve">Oczekiwany efekt to: </w:t>
      </w:r>
    </w:p>
    <w:p w14:paraId="628595B5" w14:textId="77777777" w:rsidR="00D64ACA" w:rsidRPr="00D64ACA" w:rsidRDefault="00D64ACA" w:rsidP="00D64ACA">
      <w:pPr>
        <w:pStyle w:val="Akapitzlist"/>
        <w:numPr>
          <w:ilvl w:val="0"/>
          <w:numId w:val="15"/>
        </w:numPr>
        <w:spacing w:after="0" w:line="300" w:lineRule="auto"/>
        <w:jc w:val="both"/>
        <w:rPr>
          <w:rFonts w:ascii="Arial" w:eastAsia="Calibri" w:hAnsi="Arial" w:cs="Arial"/>
        </w:rPr>
      </w:pPr>
      <w:r w:rsidRPr="00D64ACA">
        <w:rPr>
          <w:rFonts w:ascii="Arial" w:eastAsia="Calibri" w:hAnsi="Arial" w:cs="Arial"/>
        </w:rPr>
        <w:t xml:space="preserve">ujednolicenie minimalnego poziomu zabezpieczeń infrastruktury krytycznej;   </w:t>
      </w:r>
    </w:p>
    <w:p w14:paraId="39CD2DB3" w14:textId="77777777" w:rsidR="00D64ACA" w:rsidRPr="00D64ACA" w:rsidRDefault="00D64ACA" w:rsidP="00D64ACA">
      <w:pPr>
        <w:pStyle w:val="Akapitzlist"/>
        <w:numPr>
          <w:ilvl w:val="0"/>
          <w:numId w:val="15"/>
        </w:numPr>
        <w:spacing w:after="0" w:line="300" w:lineRule="auto"/>
        <w:jc w:val="both"/>
        <w:rPr>
          <w:rFonts w:ascii="Arial" w:eastAsia="Calibri" w:hAnsi="Arial" w:cs="Arial"/>
        </w:rPr>
      </w:pPr>
      <w:r w:rsidRPr="00D64ACA">
        <w:rPr>
          <w:rFonts w:ascii="Arial" w:eastAsia="Calibri" w:hAnsi="Arial" w:cs="Arial"/>
        </w:rPr>
        <w:t xml:space="preserve">ułatwienie określania warunków zamówień na usługi i środki techniczne niezbędne do ochrony infrastruktury krytycznej poprzez wprowadzenie jednolitego, minimalnego i weryfikowalnego punktu odniesienia dla specyfikacji zamówień, kryteriów oceny ofert oraz odbioru i rozliczenia dostaw warunków zamówień; </w:t>
      </w:r>
    </w:p>
    <w:p w14:paraId="0F5F09EA" w14:textId="77777777" w:rsidR="00D64ACA" w:rsidRPr="00D64ACA" w:rsidRDefault="00D64ACA" w:rsidP="00D64ACA">
      <w:pPr>
        <w:pStyle w:val="Akapitzlist"/>
        <w:numPr>
          <w:ilvl w:val="0"/>
          <w:numId w:val="15"/>
        </w:numPr>
        <w:spacing w:after="0" w:line="300" w:lineRule="auto"/>
        <w:jc w:val="both"/>
        <w:rPr>
          <w:rFonts w:ascii="Arial" w:eastAsia="Calibri" w:hAnsi="Arial" w:cs="Arial"/>
        </w:rPr>
      </w:pPr>
      <w:r w:rsidRPr="00D64ACA">
        <w:rPr>
          <w:rFonts w:ascii="Arial" w:eastAsia="Calibri" w:hAnsi="Arial" w:cs="Arial"/>
        </w:rPr>
        <w:t xml:space="preserve">zmniejszenie problemów organizacyjnych, prawnych i finansowych w procesach inwestycyjnych dla operatorów infrastruktury krytycznej w zakresie ww. sześciu obszarów bezpieczeństwa infrastruktury krytycznej;  </w:t>
      </w:r>
    </w:p>
    <w:p w14:paraId="4C0C2056" w14:textId="77777777" w:rsidR="00D64ACA" w:rsidRPr="00D64ACA" w:rsidRDefault="00D64ACA" w:rsidP="00D64ACA">
      <w:pPr>
        <w:pStyle w:val="Akapitzlist"/>
        <w:numPr>
          <w:ilvl w:val="0"/>
          <w:numId w:val="15"/>
        </w:numPr>
        <w:spacing w:after="0" w:line="300" w:lineRule="auto"/>
        <w:jc w:val="both"/>
        <w:rPr>
          <w:rFonts w:ascii="Arial" w:eastAsia="Calibri" w:hAnsi="Arial" w:cs="Arial"/>
        </w:rPr>
      </w:pPr>
      <w:r w:rsidRPr="00D64ACA">
        <w:rPr>
          <w:rFonts w:ascii="Arial" w:eastAsia="Calibri" w:hAnsi="Arial" w:cs="Arial"/>
        </w:rPr>
        <w:t xml:space="preserve">ograniczenie ryzyka przyjmowania rozwiązań niespełniających wymaganego poziomu zabezpieczenia (m.in. przez mechanizmy testowania/odbioru/certyfikacji systemów); </w:t>
      </w:r>
    </w:p>
    <w:p w14:paraId="08416447" w14:textId="77777777" w:rsidR="00D64ACA" w:rsidRPr="00D64ACA" w:rsidRDefault="00D64ACA" w:rsidP="00D64ACA">
      <w:pPr>
        <w:pStyle w:val="Akapitzlist"/>
        <w:numPr>
          <w:ilvl w:val="0"/>
          <w:numId w:val="15"/>
        </w:numPr>
        <w:spacing w:after="0" w:line="300" w:lineRule="auto"/>
        <w:jc w:val="both"/>
        <w:rPr>
          <w:rFonts w:ascii="Arial" w:eastAsia="Calibri" w:hAnsi="Arial" w:cs="Arial"/>
        </w:rPr>
      </w:pPr>
      <w:r w:rsidRPr="00D64ACA">
        <w:rPr>
          <w:rFonts w:ascii="Arial" w:eastAsia="Calibri" w:hAnsi="Arial" w:cs="Arial"/>
        </w:rPr>
        <w:t xml:space="preserve">poprawa zdolności do reagowania na incydenty i utrzymania ciągłości działania; </w:t>
      </w:r>
    </w:p>
    <w:p w14:paraId="4ABB1FB3" w14:textId="4FB0B3E3" w:rsidR="00D64ACA" w:rsidRPr="00D64ACA" w:rsidRDefault="00D64ACA" w:rsidP="00D64ACA">
      <w:pPr>
        <w:spacing w:after="0" w:line="300" w:lineRule="auto"/>
        <w:jc w:val="both"/>
        <w:rPr>
          <w:rFonts w:ascii="Arial" w:hAnsi="Arial" w:cs="Arial"/>
        </w:rPr>
      </w:pPr>
      <w:r w:rsidRPr="00D64ACA">
        <w:rPr>
          <w:rFonts w:ascii="Arial" w:eastAsia="Calibri" w:hAnsi="Arial" w:cs="Arial"/>
        </w:rPr>
        <w:t>zwiększenie efektywności nadzoru i kontroli nad operatorami infrastruktury krytycznej.</w:t>
      </w:r>
    </w:p>
    <w:p w14:paraId="7E2DDFBB" w14:textId="77777777" w:rsidR="005607A6" w:rsidRDefault="005607A6" w:rsidP="005607A6">
      <w:pPr>
        <w:spacing w:after="0" w:line="300" w:lineRule="auto"/>
        <w:jc w:val="both"/>
        <w:rPr>
          <w:rFonts w:ascii="Arial" w:hAnsi="Arial" w:cs="Arial"/>
        </w:rPr>
      </w:pPr>
    </w:p>
    <w:p w14:paraId="04FB2AC6" w14:textId="77777777" w:rsidR="00D64ACA" w:rsidRPr="00D64ACA" w:rsidRDefault="00D64ACA" w:rsidP="00D64ACA">
      <w:pPr>
        <w:spacing w:after="0" w:line="300" w:lineRule="auto"/>
        <w:jc w:val="both"/>
        <w:rPr>
          <w:rFonts w:ascii="Arial" w:hAnsi="Arial" w:cs="Arial"/>
        </w:rPr>
      </w:pPr>
      <w:r w:rsidRPr="00D64ACA">
        <w:rPr>
          <w:rFonts w:ascii="Arial" w:hAnsi="Arial" w:cs="Arial"/>
        </w:rPr>
        <w:t>Przedmiotowy projekt aktu prawnego wraz z Uzasadnieniem oraz Oceną Skutków Regulacji dostępny jest na stronach Rządowego Centrum Legislacji pod adresem:</w:t>
      </w:r>
    </w:p>
    <w:p w14:paraId="1508F671" w14:textId="0EABB609" w:rsidR="00D64ACA" w:rsidRDefault="00D64ACA" w:rsidP="00D64ACA">
      <w:pPr>
        <w:spacing w:after="0" w:line="300" w:lineRule="auto"/>
        <w:jc w:val="both"/>
        <w:rPr>
          <w:rFonts w:ascii="Arial" w:hAnsi="Arial" w:cs="Arial"/>
        </w:rPr>
      </w:pPr>
      <w:hyperlink r:id="rId11" w:history="1">
        <w:r w:rsidRPr="005B6167">
          <w:rPr>
            <w:rStyle w:val="Hipercze"/>
            <w:rFonts w:ascii="Arial" w:hAnsi="Arial" w:cs="Arial"/>
          </w:rPr>
          <w:t>https://legislacja.rcl.gov.pl/projekt/12410</w:t>
        </w:r>
        <w:r w:rsidRPr="005B6167">
          <w:rPr>
            <w:rStyle w:val="Hipercze"/>
            <w:rFonts w:ascii="Arial" w:hAnsi="Arial" w:cs="Arial"/>
          </w:rPr>
          <w:t>8</w:t>
        </w:r>
        <w:r w:rsidRPr="005B6167">
          <w:rPr>
            <w:rStyle w:val="Hipercze"/>
            <w:rFonts w:ascii="Arial" w:hAnsi="Arial" w:cs="Arial"/>
          </w:rPr>
          <w:t>04/katalog/13206477#13206477</w:t>
        </w:r>
      </w:hyperlink>
      <w:r>
        <w:rPr>
          <w:rFonts w:ascii="Arial" w:hAnsi="Arial" w:cs="Arial"/>
        </w:rPr>
        <w:t xml:space="preserve"> </w:t>
      </w:r>
    </w:p>
    <w:p w14:paraId="63FB11A9" w14:textId="77777777" w:rsidR="00D64ACA" w:rsidRDefault="00D64ACA" w:rsidP="00D64ACA">
      <w:pPr>
        <w:spacing w:after="0" w:line="300" w:lineRule="auto"/>
        <w:jc w:val="both"/>
        <w:rPr>
          <w:rFonts w:ascii="Arial" w:hAnsi="Arial" w:cs="Arial"/>
        </w:rPr>
      </w:pPr>
    </w:p>
    <w:p w14:paraId="30D8F8BB" w14:textId="236AF40F" w:rsidR="00D64ACA" w:rsidRDefault="00D64ACA" w:rsidP="00D64ACA">
      <w:pPr>
        <w:spacing w:after="0" w:line="300" w:lineRule="auto"/>
        <w:jc w:val="both"/>
        <w:rPr>
          <w:rFonts w:ascii="Arial" w:hAnsi="Arial" w:cs="Arial"/>
        </w:rPr>
      </w:pPr>
      <w:r w:rsidRPr="00D64ACA">
        <w:rPr>
          <w:rFonts w:ascii="Arial" w:hAnsi="Arial" w:cs="Arial"/>
        </w:rPr>
        <w:t>Projekt jest obecnie jednocześnie na etapie uzgodnień, konsultacji publicznych i opiniowania.</w:t>
      </w:r>
    </w:p>
    <w:p w14:paraId="05E8B49C" w14:textId="77777777" w:rsidR="00D64ACA" w:rsidRPr="005607A6" w:rsidRDefault="00D64ACA" w:rsidP="005607A6">
      <w:pPr>
        <w:spacing w:after="0" w:line="300" w:lineRule="auto"/>
        <w:jc w:val="both"/>
        <w:rPr>
          <w:rFonts w:ascii="Arial" w:hAnsi="Arial" w:cs="Arial"/>
        </w:rPr>
      </w:pPr>
    </w:p>
    <w:p w14:paraId="270A3E90" w14:textId="5A4F19D2" w:rsidR="000B5F44" w:rsidRPr="00D64ACA" w:rsidRDefault="00D64ACA" w:rsidP="000B5F44">
      <w:pPr>
        <w:pStyle w:val="Akapitzlist"/>
        <w:numPr>
          <w:ilvl w:val="0"/>
          <w:numId w:val="4"/>
        </w:numPr>
        <w:spacing w:after="0" w:line="300" w:lineRule="auto"/>
        <w:jc w:val="both"/>
        <w:rPr>
          <w:rFonts w:ascii="Arial" w:hAnsi="Arial" w:cs="Arial"/>
          <w:b/>
          <w:bCs/>
          <w:u w:val="single"/>
        </w:rPr>
      </w:pPr>
      <w:r w:rsidRPr="00D64ACA">
        <w:rPr>
          <w:rFonts w:ascii="Arial" w:hAnsi="Arial" w:cs="Arial"/>
          <w:b/>
          <w:bCs/>
          <w:u w:val="single"/>
        </w:rPr>
        <w:t>P</w:t>
      </w:r>
      <w:r w:rsidRPr="00D64ACA">
        <w:rPr>
          <w:rFonts w:ascii="Arial" w:hAnsi="Arial" w:cs="Arial"/>
          <w:b/>
          <w:bCs/>
          <w:u w:val="single"/>
        </w:rPr>
        <w:t>rojekt rozporządzenia Ministra Finansów i Gospodarki w sprawie poziomów zdolności wykonawcy do wykonania zamówienia na roboty budowlane (54).</w:t>
      </w:r>
    </w:p>
    <w:p w14:paraId="4F0ED847" w14:textId="77777777" w:rsidR="000B5F44" w:rsidRDefault="000B5F44" w:rsidP="000B5F44">
      <w:pPr>
        <w:spacing w:after="0" w:line="300" w:lineRule="auto"/>
        <w:jc w:val="both"/>
        <w:rPr>
          <w:rFonts w:ascii="Arial" w:hAnsi="Arial" w:cs="Arial"/>
        </w:rPr>
      </w:pPr>
    </w:p>
    <w:p w14:paraId="5DDDF7C0" w14:textId="77777777" w:rsidR="00892E4F" w:rsidRPr="00892E4F" w:rsidRDefault="00892E4F" w:rsidP="00892E4F">
      <w:pPr>
        <w:spacing w:after="0" w:line="300" w:lineRule="auto"/>
        <w:jc w:val="both"/>
        <w:rPr>
          <w:rFonts w:ascii="Arial" w:hAnsi="Arial" w:cs="Arial"/>
        </w:rPr>
      </w:pPr>
      <w:r w:rsidRPr="00892E4F">
        <w:rPr>
          <w:rFonts w:ascii="Arial" w:hAnsi="Arial" w:cs="Arial"/>
        </w:rPr>
        <w:lastRenderedPageBreak/>
        <w:t>W art. 5 w ust. 4 ustawy z dnia 5 sierpnia 2025 r. o certyfikacji wykonawców zamówień publicznych jest zawarte upoważnienie dla ministra właściwego do spraw gospodarki do wydania, w porozumieniu z ministrem właściwym do spraw transportu, ministrem właściwym do spraw budownictwa, planowania i zagospodarowania przestrzennego oraz mieszkalnictwa, a także ministrem właściwym do spraw gospodarki wodnej, rozporządzenia ustanawiającego poziomy zdolności dotyczące kwalifikacji zawodowych lub doświadczenia wykonawcy lub osób, które będą realizowały zamówienie, związane z udzielaniem zamówienia na roboty budowlane, kierując się potrzebą zapewnienia standaryzacji tych poziomów zdolności.</w:t>
      </w:r>
    </w:p>
    <w:p w14:paraId="27767C4F" w14:textId="77777777" w:rsidR="00892E4F" w:rsidRPr="00892E4F" w:rsidRDefault="00892E4F" w:rsidP="00892E4F">
      <w:pPr>
        <w:spacing w:after="0" w:line="300" w:lineRule="auto"/>
        <w:jc w:val="both"/>
        <w:rPr>
          <w:rFonts w:ascii="Arial" w:hAnsi="Arial" w:cs="Arial"/>
        </w:rPr>
      </w:pPr>
      <w:r w:rsidRPr="00892E4F">
        <w:rPr>
          <w:rFonts w:ascii="Arial" w:hAnsi="Arial" w:cs="Arial"/>
        </w:rPr>
        <w:t>Projekt rozporządzenia stanowi wykonanie powyższego upoważnienia ustawowego.</w:t>
      </w:r>
    </w:p>
    <w:p w14:paraId="078BAA56" w14:textId="77777777" w:rsidR="00892E4F" w:rsidRPr="00892E4F" w:rsidRDefault="00892E4F" w:rsidP="00892E4F">
      <w:pPr>
        <w:spacing w:after="0" w:line="300" w:lineRule="auto"/>
        <w:jc w:val="both"/>
        <w:rPr>
          <w:rFonts w:ascii="Arial" w:hAnsi="Arial" w:cs="Arial"/>
        </w:rPr>
      </w:pPr>
      <w:r w:rsidRPr="00892E4F">
        <w:rPr>
          <w:rFonts w:ascii="Arial" w:hAnsi="Arial" w:cs="Arial"/>
        </w:rPr>
        <w:t xml:space="preserve">Rozporządzenie określa poziomy zdolności, co do których udziela się certyfikacji zdolności wykonawcy w odniesieniu do warunków udziału w postępowaniu w zakresie, o którym mowa w art. 112 ust. 2 pkt 4 ustawy z dnia 11 września 2019 r. - Prawo zamówień publicznych (Dz. U. z 2024 r. poz. 1320, z </w:t>
      </w:r>
      <w:proofErr w:type="spellStart"/>
      <w:r w:rsidRPr="00892E4F">
        <w:rPr>
          <w:rFonts w:ascii="Arial" w:hAnsi="Arial" w:cs="Arial"/>
        </w:rPr>
        <w:t>późn</w:t>
      </w:r>
      <w:proofErr w:type="spellEnd"/>
      <w:r w:rsidRPr="00892E4F">
        <w:rPr>
          <w:rFonts w:ascii="Arial" w:hAnsi="Arial" w:cs="Arial"/>
        </w:rPr>
        <w:t xml:space="preserve">. zm.), zwane dalej „poziomami zdolności”, związane z udzielaniem zamówień na roboty budowlane. </w:t>
      </w:r>
    </w:p>
    <w:p w14:paraId="14124B3C" w14:textId="77777777" w:rsidR="00892E4F" w:rsidRPr="00892E4F" w:rsidRDefault="00892E4F" w:rsidP="00892E4F">
      <w:pPr>
        <w:spacing w:after="0" w:line="300" w:lineRule="auto"/>
        <w:jc w:val="both"/>
        <w:rPr>
          <w:rFonts w:ascii="Arial" w:hAnsi="Arial" w:cs="Arial"/>
        </w:rPr>
      </w:pPr>
      <w:r w:rsidRPr="00892E4F">
        <w:rPr>
          <w:rFonts w:ascii="Arial" w:hAnsi="Arial" w:cs="Arial"/>
        </w:rPr>
        <w:t>W rozporządzeniu określono poziomy zdolności dotyczące: (1) kwalifikacji zawodowych wykonawcy lub osób, które będą realizowały zamówienie, w zakresie robót budowlanych a także (2) doświadczenia w zakresie robót budowlanych obejmujących budowę dróg, obiektów inżynierskich, sieci kanalizacyjnych i wodociągowych, torowisk tramwajowych, obiektów budowlanych. Poziomy zdolności zdefiniowano w załącznikach do rozporządzenia w formie tabel z określonymi cechami tych poziomów.</w:t>
      </w:r>
    </w:p>
    <w:p w14:paraId="1CDCF3CC" w14:textId="77777777" w:rsidR="00892E4F" w:rsidRPr="00892E4F" w:rsidRDefault="00892E4F" w:rsidP="00892E4F">
      <w:pPr>
        <w:spacing w:after="0" w:line="300" w:lineRule="auto"/>
        <w:jc w:val="both"/>
        <w:rPr>
          <w:rFonts w:ascii="Arial" w:hAnsi="Arial" w:cs="Arial"/>
        </w:rPr>
      </w:pPr>
      <w:r w:rsidRPr="00892E4F">
        <w:rPr>
          <w:rFonts w:ascii="Arial" w:hAnsi="Arial" w:cs="Arial"/>
        </w:rPr>
        <w:t>W przypadku kwalifikacji zawodowych oznaczenie potwierdzonego poziomu zdolności będzie następowało przez wskazanie: zakresu czynności wykonywanych w ramach realizacji zamówienia, rodzaju uprawnienia budowlanego, specjalności uprawnień budowlanych i projektowych, zakresu prac objętych uprawnieniem, doświadczenia zawodowego w pełnieniu funkcji technicznych w odniesieniu do ilości miesięcy oraz w odniesieniu do zrealizowanych zadań.</w:t>
      </w:r>
    </w:p>
    <w:p w14:paraId="63819905" w14:textId="77777777" w:rsidR="00892E4F" w:rsidRPr="00892E4F" w:rsidRDefault="00892E4F" w:rsidP="00892E4F">
      <w:pPr>
        <w:spacing w:after="0" w:line="300" w:lineRule="auto"/>
        <w:jc w:val="both"/>
        <w:rPr>
          <w:rFonts w:ascii="Arial" w:hAnsi="Arial" w:cs="Arial"/>
        </w:rPr>
      </w:pPr>
      <w:r w:rsidRPr="00892E4F">
        <w:rPr>
          <w:rFonts w:ascii="Arial" w:hAnsi="Arial" w:cs="Arial"/>
        </w:rPr>
        <w:t>W przypadku doświadczenia wykonawcy oznaczenie potwierdzonego poziomu zdolności będzie następowało przez oznaczenie przedmiotu zamówienia, którego dotyczy doświadczenie wykonawcy, a także oznaczenie dodatkowych cech przedmiotu zamówienia należących do różnych kategorii, określonych w załączniku do projektu rozporządzenia. Należy podkreślić, że to wykonawca będzie decydował, stosownie do swoich potrzeb i doświadczenia, które cechy przedmiotu zamówienia będą wskazane w certyfikacie w oznaczeniu potwierdzonego poziomu zdolności i na jakim poziomie. W zależności od charakteru danej cechy przedmiotu zamówienia, wykonawca będzie mógł wskazać jedną, kilka lub wszystkie cechy określające przedmiot zamówienia, zaś w przypadku cech, w których poziom zdolności obejmuje poziomy niższe, będzie wybierał maksymalny poziom zdolności, który ma się znaleźć w certyfikacie. Ma to na celu zapewnienie wykonawcom możliwie szerokiej elastyczności w zakresie certyfikacji ich zdolności.</w:t>
      </w:r>
    </w:p>
    <w:p w14:paraId="20954161" w14:textId="7DD852B1" w:rsidR="00892E4F" w:rsidRDefault="00892E4F" w:rsidP="00892E4F">
      <w:pPr>
        <w:spacing w:after="0" w:line="300" w:lineRule="auto"/>
        <w:jc w:val="both"/>
        <w:rPr>
          <w:rFonts w:ascii="Arial" w:hAnsi="Arial" w:cs="Arial"/>
        </w:rPr>
      </w:pPr>
      <w:r w:rsidRPr="00892E4F">
        <w:rPr>
          <w:rFonts w:ascii="Arial" w:hAnsi="Arial" w:cs="Arial"/>
        </w:rPr>
        <w:t>Zgodnie z art. 5 ust. 4 ustawy z dnia 5 sierpnia 2025 r. o certyfikacji wykonawców zamówień publicznych, minister właściwy do spraw gospodarki, w porozumieniu z ministrem właściwym do spraw transportu, ministrem właściwym do spraw budownictwa, planowania i zagospodarowania przestrzennego oraz mieszkalnictwa, a także ministrem właściwym do spraw gospodarki wodnej, ma określić powyższe, w drodze rozporządzenia, w związku z czym nie jest możliwe osiągnięcie zakładanego celu projektu za pomocą innych środków.</w:t>
      </w:r>
    </w:p>
    <w:p w14:paraId="1EB050E3" w14:textId="77777777" w:rsidR="00892E4F" w:rsidRPr="00892E4F" w:rsidRDefault="00892E4F" w:rsidP="00892E4F">
      <w:pPr>
        <w:spacing w:after="0" w:line="300" w:lineRule="auto"/>
        <w:jc w:val="both"/>
        <w:rPr>
          <w:rFonts w:ascii="Arial" w:hAnsi="Arial" w:cs="Arial"/>
        </w:rPr>
      </w:pPr>
      <w:r w:rsidRPr="00892E4F">
        <w:rPr>
          <w:rFonts w:ascii="Arial" w:hAnsi="Arial" w:cs="Arial"/>
        </w:rPr>
        <w:lastRenderedPageBreak/>
        <w:t>Przedmiotowy projekt aktu prawnego wraz z Uzasadnieniem oraz Oceną Skutków Regulacji dostępny jest na stronach Rządowego Centrum Legislacji pod adresem:</w:t>
      </w:r>
    </w:p>
    <w:p w14:paraId="08A82C45" w14:textId="4172B302" w:rsidR="00892E4F" w:rsidRDefault="00892E4F" w:rsidP="00892E4F">
      <w:pPr>
        <w:spacing w:after="0" w:line="300" w:lineRule="auto"/>
        <w:jc w:val="both"/>
        <w:rPr>
          <w:rFonts w:ascii="Arial" w:hAnsi="Arial" w:cs="Arial"/>
        </w:rPr>
      </w:pPr>
      <w:hyperlink r:id="rId12" w:history="1">
        <w:r w:rsidRPr="005B6167">
          <w:rPr>
            <w:rStyle w:val="Hipercze"/>
            <w:rFonts w:ascii="Arial" w:hAnsi="Arial" w:cs="Arial"/>
          </w:rPr>
          <w:t>https://legislacja.rcl.gov.pl/projekt/1</w:t>
        </w:r>
        <w:r w:rsidRPr="005B6167">
          <w:rPr>
            <w:rStyle w:val="Hipercze"/>
            <w:rFonts w:ascii="Arial" w:hAnsi="Arial" w:cs="Arial"/>
          </w:rPr>
          <w:t>2</w:t>
        </w:r>
        <w:r w:rsidRPr="005B6167">
          <w:rPr>
            <w:rStyle w:val="Hipercze"/>
            <w:rFonts w:ascii="Arial" w:hAnsi="Arial" w:cs="Arial"/>
          </w:rPr>
          <w:t>410806/katalog/13206594#13206594</w:t>
        </w:r>
      </w:hyperlink>
      <w:r>
        <w:rPr>
          <w:rFonts w:ascii="Arial" w:hAnsi="Arial" w:cs="Arial"/>
        </w:rPr>
        <w:t xml:space="preserve"> </w:t>
      </w:r>
    </w:p>
    <w:p w14:paraId="2415F01B" w14:textId="77777777" w:rsidR="00892E4F" w:rsidRDefault="00892E4F" w:rsidP="00892E4F">
      <w:pPr>
        <w:spacing w:after="0" w:line="300" w:lineRule="auto"/>
        <w:jc w:val="both"/>
        <w:rPr>
          <w:rFonts w:ascii="Arial" w:hAnsi="Arial" w:cs="Arial"/>
        </w:rPr>
      </w:pPr>
    </w:p>
    <w:p w14:paraId="1E4A3B12" w14:textId="6429D238" w:rsidR="00892E4F" w:rsidRPr="00042C7F" w:rsidRDefault="00892E4F" w:rsidP="00892E4F">
      <w:pPr>
        <w:spacing w:after="0" w:line="300" w:lineRule="auto"/>
        <w:jc w:val="both"/>
        <w:rPr>
          <w:rFonts w:ascii="Arial" w:hAnsi="Arial" w:cs="Arial"/>
        </w:rPr>
      </w:pPr>
      <w:r w:rsidRPr="00892E4F">
        <w:rPr>
          <w:rFonts w:ascii="Arial" w:hAnsi="Arial" w:cs="Arial"/>
        </w:rPr>
        <w:t>Projekt jest obecnie jednocześnie na etapie uzgodnień, konsultacji publicznych i opiniowania.</w:t>
      </w:r>
    </w:p>
    <w:p w14:paraId="078BFDF4" w14:textId="77777777" w:rsidR="000B5F44" w:rsidRDefault="000B5F44" w:rsidP="000B5F44">
      <w:pPr>
        <w:spacing w:after="0" w:line="300" w:lineRule="auto"/>
        <w:jc w:val="both"/>
        <w:rPr>
          <w:rFonts w:ascii="Arial" w:hAnsi="Arial" w:cs="Arial"/>
        </w:rPr>
      </w:pPr>
    </w:p>
    <w:p w14:paraId="522D0D5E" w14:textId="77777777" w:rsidR="009D1AD3" w:rsidRDefault="009D1AD3" w:rsidP="000B5F44">
      <w:pPr>
        <w:spacing w:after="0" w:line="300" w:lineRule="auto"/>
        <w:jc w:val="both"/>
        <w:rPr>
          <w:rFonts w:ascii="Arial" w:hAnsi="Arial" w:cs="Arial"/>
        </w:rPr>
      </w:pPr>
    </w:p>
    <w:p w14:paraId="56C245AF" w14:textId="77777777" w:rsidR="009D1AD3" w:rsidRPr="009D1AD3" w:rsidRDefault="009D1AD3" w:rsidP="009D1AD3">
      <w:pPr>
        <w:spacing w:after="0" w:line="300" w:lineRule="auto"/>
        <w:rPr>
          <w:rFonts w:ascii="Arial" w:hAnsi="Arial" w:cs="Arial"/>
          <w:b/>
          <w:bCs/>
        </w:rPr>
      </w:pPr>
      <w:r w:rsidRPr="009D1AD3">
        <w:rPr>
          <w:rFonts w:ascii="Arial" w:hAnsi="Arial" w:cs="Arial"/>
          <w:b/>
          <w:bCs/>
        </w:rPr>
        <w:t>II. Stanowiska Związku Pracodawców Polska Miedź</w:t>
      </w:r>
    </w:p>
    <w:p w14:paraId="75F82037" w14:textId="77777777" w:rsidR="009D1AD3" w:rsidRPr="009D1AD3" w:rsidRDefault="009D1AD3" w:rsidP="009D1AD3">
      <w:pPr>
        <w:spacing w:after="0" w:line="300" w:lineRule="auto"/>
        <w:rPr>
          <w:rFonts w:ascii="Arial" w:hAnsi="Arial" w:cs="Arial"/>
        </w:rPr>
      </w:pPr>
    </w:p>
    <w:p w14:paraId="4AF8CF6C" w14:textId="77777777" w:rsidR="009D1AD3" w:rsidRPr="009D1AD3" w:rsidRDefault="009D1AD3" w:rsidP="009D1AD3">
      <w:pPr>
        <w:spacing w:after="0" w:line="300" w:lineRule="auto"/>
        <w:rPr>
          <w:rFonts w:ascii="Arial" w:hAnsi="Arial" w:cs="Arial"/>
        </w:rPr>
      </w:pPr>
      <w:r w:rsidRPr="009D1AD3">
        <w:rPr>
          <w:rFonts w:ascii="Arial" w:hAnsi="Arial" w:cs="Arial"/>
        </w:rPr>
        <w:t>Na podstawie opinii i ekspertyz podmiotów członkowskich Związku Pracodawców Polska Miedź przygotowano jedno stanowisko do opublikowanych projektów aktów prawnych oraz dokumentów strategicznych.</w:t>
      </w:r>
    </w:p>
    <w:p w14:paraId="463A3C60" w14:textId="77777777" w:rsidR="009D1AD3" w:rsidRPr="009D1AD3" w:rsidRDefault="009D1AD3" w:rsidP="009D1AD3">
      <w:pPr>
        <w:spacing w:after="0" w:line="300" w:lineRule="auto"/>
        <w:rPr>
          <w:rFonts w:ascii="Arial" w:hAnsi="Arial" w:cs="Arial"/>
        </w:rPr>
      </w:pPr>
    </w:p>
    <w:p w14:paraId="432AF60F" w14:textId="731AFCAA" w:rsidR="009D1AD3" w:rsidRPr="009D1AD3" w:rsidRDefault="009D1AD3" w:rsidP="009D1AD3">
      <w:pPr>
        <w:spacing w:after="0" w:line="300" w:lineRule="auto"/>
        <w:ind w:left="708"/>
        <w:jc w:val="both"/>
        <w:rPr>
          <w:rFonts w:ascii="Arial" w:hAnsi="Arial" w:cs="Arial"/>
          <w:b/>
          <w:bCs/>
          <w:u w:val="single"/>
        </w:rPr>
      </w:pPr>
      <w:r w:rsidRPr="009D1AD3">
        <w:rPr>
          <w:rFonts w:ascii="Arial" w:hAnsi="Arial" w:cs="Arial"/>
          <w:b/>
          <w:bCs/>
          <w:u w:val="single"/>
        </w:rPr>
        <w:t>Stanowisko Związku Pracodawców Polska Miedź (uwagi Związku Pracodawców Polska Miedź) do projektu ustawy o wzmocnieniu stosowania prawa do</w:t>
      </w:r>
      <w:r>
        <w:rPr>
          <w:rFonts w:ascii="Arial" w:hAnsi="Arial" w:cs="Arial"/>
          <w:b/>
          <w:bCs/>
          <w:u w:val="single"/>
        </w:rPr>
        <w:t xml:space="preserve"> </w:t>
      </w:r>
      <w:r w:rsidRPr="009D1AD3">
        <w:rPr>
          <w:rFonts w:ascii="Arial" w:hAnsi="Arial" w:cs="Arial"/>
          <w:b/>
          <w:bCs/>
          <w:u w:val="single"/>
        </w:rPr>
        <w:t xml:space="preserve">jednakowego wynagrodzenia mężczyzn i kobiet za jednakową pracę lub za pracę o jednakowej wartości </w:t>
      </w:r>
      <w:r>
        <w:rPr>
          <w:rFonts w:ascii="Arial" w:hAnsi="Arial" w:cs="Arial"/>
          <w:b/>
          <w:bCs/>
          <w:u w:val="single"/>
        </w:rPr>
        <w:t>(</w:t>
      </w:r>
      <w:r w:rsidRPr="009D1AD3">
        <w:rPr>
          <w:rFonts w:ascii="Arial" w:hAnsi="Arial" w:cs="Arial"/>
          <w:b/>
          <w:bCs/>
          <w:u w:val="single"/>
        </w:rPr>
        <w:t>wersja II</w:t>
      </w:r>
      <w:r>
        <w:rPr>
          <w:rFonts w:ascii="Arial" w:hAnsi="Arial" w:cs="Arial"/>
          <w:b/>
          <w:bCs/>
          <w:u w:val="single"/>
        </w:rPr>
        <w:t>)</w:t>
      </w:r>
      <w:r w:rsidRPr="009D1AD3">
        <w:rPr>
          <w:rFonts w:ascii="Arial" w:hAnsi="Arial" w:cs="Arial"/>
          <w:b/>
          <w:bCs/>
          <w:u w:val="single"/>
        </w:rPr>
        <w:t>.</w:t>
      </w:r>
    </w:p>
    <w:p w14:paraId="622E665A" w14:textId="77777777" w:rsidR="009D1AD3" w:rsidRPr="009D1AD3" w:rsidRDefault="009D1AD3" w:rsidP="009D1AD3">
      <w:pPr>
        <w:spacing w:after="0" w:line="300" w:lineRule="auto"/>
        <w:rPr>
          <w:rFonts w:ascii="Arial" w:hAnsi="Arial" w:cs="Arial"/>
        </w:rPr>
      </w:pPr>
    </w:p>
    <w:p w14:paraId="291980C9" w14:textId="24F38E5E" w:rsidR="009D1AD3" w:rsidRPr="009D1AD3" w:rsidRDefault="009D1AD3" w:rsidP="009D1AD3">
      <w:pPr>
        <w:spacing w:after="0" w:line="300" w:lineRule="auto"/>
        <w:jc w:val="both"/>
        <w:rPr>
          <w:rFonts w:ascii="Arial" w:hAnsi="Arial" w:cs="Arial"/>
        </w:rPr>
      </w:pPr>
      <w:r w:rsidRPr="009D1AD3">
        <w:rPr>
          <w:rFonts w:ascii="Arial" w:hAnsi="Arial" w:cs="Arial"/>
        </w:rPr>
        <w:t xml:space="preserve">Projekt z dnia </w:t>
      </w:r>
      <w:r>
        <w:rPr>
          <w:rFonts w:ascii="Arial" w:hAnsi="Arial" w:cs="Arial"/>
        </w:rPr>
        <w:t>29</w:t>
      </w:r>
      <w:r w:rsidRPr="009D1AD3">
        <w:rPr>
          <w:rFonts w:ascii="Arial" w:hAnsi="Arial" w:cs="Arial"/>
        </w:rPr>
        <w:t xml:space="preserve"> kwietnia 2026 roku, opublikowany na stronie BIP Rządowego Centrum Legislacji w dniu </w:t>
      </w:r>
      <w:r>
        <w:rPr>
          <w:rFonts w:ascii="Arial" w:hAnsi="Arial" w:cs="Arial"/>
        </w:rPr>
        <w:t>4 maja</w:t>
      </w:r>
      <w:r w:rsidRPr="009D1AD3">
        <w:rPr>
          <w:rFonts w:ascii="Arial" w:hAnsi="Arial" w:cs="Arial"/>
        </w:rPr>
        <w:t xml:space="preserve"> 2026 roku (nr UC1</w:t>
      </w:r>
      <w:r>
        <w:rPr>
          <w:rFonts w:ascii="Arial" w:hAnsi="Arial" w:cs="Arial"/>
        </w:rPr>
        <w:t>27</w:t>
      </w:r>
      <w:r w:rsidRPr="009D1AD3">
        <w:rPr>
          <w:rFonts w:ascii="Arial" w:hAnsi="Arial" w:cs="Arial"/>
        </w:rPr>
        <w:t xml:space="preserve"> w Wykazie prac legislacyjnych i programowych Rady Ministrów).</w:t>
      </w:r>
    </w:p>
    <w:p w14:paraId="5D111DB2" w14:textId="54D2FF26" w:rsidR="000B5F44" w:rsidRPr="00042C7F" w:rsidRDefault="009D1AD3" w:rsidP="009D1AD3">
      <w:pPr>
        <w:spacing w:after="0" w:line="300" w:lineRule="auto"/>
        <w:jc w:val="both"/>
        <w:rPr>
          <w:rFonts w:ascii="Arial" w:hAnsi="Arial" w:cs="Arial"/>
        </w:rPr>
      </w:pPr>
      <w:r w:rsidRPr="009D1AD3">
        <w:rPr>
          <w:rFonts w:ascii="Arial" w:hAnsi="Arial" w:cs="Arial"/>
        </w:rPr>
        <w:t xml:space="preserve">Przedmiotowe stanowisko zostało przesłane do Ministerstwa </w:t>
      </w:r>
      <w:r>
        <w:rPr>
          <w:rFonts w:ascii="Arial" w:hAnsi="Arial" w:cs="Arial"/>
        </w:rPr>
        <w:t>Rodz</w:t>
      </w:r>
      <w:r w:rsidRPr="009D1AD3">
        <w:rPr>
          <w:rFonts w:ascii="Arial" w:hAnsi="Arial" w:cs="Arial"/>
        </w:rPr>
        <w:t>i</w:t>
      </w:r>
      <w:r>
        <w:rPr>
          <w:rFonts w:ascii="Arial" w:hAnsi="Arial" w:cs="Arial"/>
        </w:rPr>
        <w:t>ny, Pracy i Polityki Społecznej</w:t>
      </w:r>
      <w:r w:rsidRPr="009D1AD3">
        <w:rPr>
          <w:rFonts w:ascii="Arial" w:hAnsi="Arial" w:cs="Arial"/>
        </w:rPr>
        <w:t xml:space="preserve"> oraz reprezentatywnych organizacji pracodawców, z którymi Związek Pracodawców Polska Miedź współpracuje.</w:t>
      </w:r>
    </w:p>
    <w:p w14:paraId="74AD27B4" w14:textId="77777777" w:rsidR="000B5F44" w:rsidRPr="00CC391D" w:rsidRDefault="000B5F44" w:rsidP="000B5F44">
      <w:pPr>
        <w:spacing w:after="0" w:line="300" w:lineRule="auto"/>
        <w:jc w:val="both"/>
        <w:rPr>
          <w:rFonts w:ascii="Arial" w:hAnsi="Arial" w:cs="Arial"/>
          <w:bCs/>
        </w:rPr>
      </w:pPr>
    </w:p>
    <w:p w14:paraId="31D90FC4" w14:textId="77777777" w:rsidR="000B5F44" w:rsidRPr="00CB4A6E" w:rsidRDefault="000B5F44" w:rsidP="000B5F44">
      <w:pPr>
        <w:spacing w:after="0" w:line="300" w:lineRule="auto"/>
        <w:rPr>
          <w:rFonts w:ascii="Arial" w:hAnsi="Arial" w:cs="Arial"/>
        </w:rPr>
      </w:pPr>
    </w:p>
    <w:p w14:paraId="6F3E90EA" w14:textId="6B5C6827" w:rsidR="000B5F44" w:rsidRDefault="009D1AD3" w:rsidP="000B5F44">
      <w:pPr>
        <w:spacing w:after="0" w:line="300" w:lineRule="auto"/>
        <w:jc w:val="both"/>
        <w:rPr>
          <w:rFonts w:ascii="Arial" w:hAnsi="Arial" w:cs="Arial"/>
          <w:b/>
        </w:rPr>
      </w:pPr>
      <w:r>
        <w:rPr>
          <w:rFonts w:ascii="Arial" w:hAnsi="Arial" w:cs="Arial"/>
          <w:b/>
        </w:rPr>
        <w:t>I</w:t>
      </w:r>
      <w:r w:rsidR="000B5F44">
        <w:rPr>
          <w:rFonts w:ascii="Arial" w:hAnsi="Arial" w:cs="Arial"/>
          <w:b/>
        </w:rPr>
        <w:t>II. Ogłoszone akty prawne (Dziennik Ustaw RP)</w:t>
      </w:r>
    </w:p>
    <w:p w14:paraId="4E4A627C" w14:textId="77777777" w:rsidR="000B5F44" w:rsidRDefault="000B5F44" w:rsidP="000B5F44">
      <w:pPr>
        <w:spacing w:after="0" w:line="300" w:lineRule="auto"/>
        <w:jc w:val="both"/>
        <w:rPr>
          <w:rFonts w:ascii="Arial" w:hAnsi="Arial" w:cs="Arial"/>
        </w:rPr>
      </w:pPr>
    </w:p>
    <w:p w14:paraId="16B10418" w14:textId="7DF4D30F" w:rsidR="000B5F44" w:rsidRDefault="000B5F44" w:rsidP="000B5F44">
      <w:pPr>
        <w:spacing w:after="0" w:line="300" w:lineRule="auto"/>
        <w:jc w:val="both"/>
        <w:rPr>
          <w:rFonts w:ascii="Arial" w:hAnsi="Arial" w:cs="Arial"/>
        </w:rPr>
      </w:pPr>
      <w:r>
        <w:rPr>
          <w:rFonts w:ascii="Arial" w:hAnsi="Arial" w:cs="Arial"/>
        </w:rPr>
        <w:t xml:space="preserve">W analizowanym okresie ogłoszono </w:t>
      </w:r>
      <w:r w:rsidR="00B638C4">
        <w:rPr>
          <w:rFonts w:ascii="Arial" w:hAnsi="Arial" w:cs="Arial"/>
        </w:rPr>
        <w:t xml:space="preserve">34 </w:t>
      </w:r>
      <w:r>
        <w:rPr>
          <w:rFonts w:ascii="Arial" w:hAnsi="Arial" w:cs="Arial"/>
        </w:rPr>
        <w:t>akt</w:t>
      </w:r>
      <w:r w:rsidR="00B638C4">
        <w:rPr>
          <w:rFonts w:ascii="Arial" w:hAnsi="Arial" w:cs="Arial"/>
        </w:rPr>
        <w:t>y</w:t>
      </w:r>
      <w:r>
        <w:rPr>
          <w:rFonts w:ascii="Arial" w:hAnsi="Arial" w:cs="Arial"/>
        </w:rPr>
        <w:t xml:space="preserve"> prawn</w:t>
      </w:r>
      <w:r w:rsidR="00B638C4">
        <w:rPr>
          <w:rFonts w:ascii="Arial" w:hAnsi="Arial" w:cs="Arial"/>
        </w:rPr>
        <w:t>e</w:t>
      </w:r>
      <w:r>
        <w:rPr>
          <w:rFonts w:ascii="Arial" w:hAnsi="Arial" w:cs="Arial"/>
        </w:rPr>
        <w:t>, tzn. ustawy, rozporządzenia Rady Ministrów, Prezesa Rady Ministrów i poszczególnych ministrów, obwieszczenia w sprawie ogłoszenia tekstu jednolitego. Z powyższych publikacji w zainteresowaniu pracodawców i przedsiębiorców znaleźć się mogą następujące akty prawne:</w:t>
      </w:r>
    </w:p>
    <w:p w14:paraId="1FF6C66A" w14:textId="77777777" w:rsidR="000B5F44" w:rsidRDefault="000B5F44" w:rsidP="000B5F44">
      <w:pPr>
        <w:spacing w:after="0" w:line="300" w:lineRule="auto"/>
        <w:jc w:val="both"/>
        <w:rPr>
          <w:rFonts w:ascii="Arial" w:hAnsi="Arial" w:cs="Arial"/>
        </w:rPr>
      </w:pPr>
    </w:p>
    <w:p w14:paraId="5926A51A" w14:textId="34F2AA22" w:rsidR="000B5F44" w:rsidRPr="00FF5C75" w:rsidRDefault="00FF5C75" w:rsidP="000B5F44">
      <w:pPr>
        <w:pStyle w:val="Akapitzlist"/>
        <w:numPr>
          <w:ilvl w:val="0"/>
          <w:numId w:val="2"/>
        </w:numPr>
        <w:spacing w:after="0" w:line="300" w:lineRule="auto"/>
        <w:ind w:left="426" w:hanging="426"/>
        <w:jc w:val="both"/>
        <w:rPr>
          <w:rFonts w:ascii="Arial" w:hAnsi="Arial" w:cs="Arial"/>
          <w:b/>
          <w:bCs/>
          <w:u w:val="single"/>
        </w:rPr>
      </w:pPr>
      <w:r w:rsidRPr="00FF5C75">
        <w:rPr>
          <w:rFonts w:ascii="Arial" w:hAnsi="Arial" w:cs="Arial"/>
          <w:b/>
          <w:bCs/>
          <w:u w:val="single"/>
        </w:rPr>
        <w:t>Rozporządzenie Ministra Infrastruktury z dnia 4 maja 2026 r. w sprawie warunków technicznych, jakim powinny odpowiadać budowle hydrotechniczne i ich usytuowanie</w:t>
      </w:r>
      <w:r w:rsidRPr="00FF5C75">
        <w:rPr>
          <w:rFonts w:ascii="Arial" w:hAnsi="Arial" w:cs="Arial"/>
          <w:b/>
          <w:bCs/>
          <w:u w:val="single"/>
        </w:rPr>
        <w:t>.</w:t>
      </w:r>
    </w:p>
    <w:p w14:paraId="1EB7AFBF" w14:textId="77777777" w:rsidR="00FF5C75" w:rsidRDefault="00FF5C75" w:rsidP="00FF5C75">
      <w:pPr>
        <w:spacing w:after="0" w:line="300" w:lineRule="auto"/>
        <w:jc w:val="both"/>
        <w:rPr>
          <w:rFonts w:ascii="Arial" w:eastAsia="Times New Roman" w:hAnsi="Arial" w:cs="Arial"/>
          <w:lang w:eastAsia="pl-PL"/>
        </w:rPr>
      </w:pPr>
    </w:p>
    <w:p w14:paraId="3A98B30F" w14:textId="5C86A03F" w:rsidR="000B5F44" w:rsidRPr="00FF5C75" w:rsidRDefault="000B5F44" w:rsidP="00FF5C75">
      <w:pPr>
        <w:spacing w:after="0" w:line="300" w:lineRule="auto"/>
        <w:jc w:val="both"/>
        <w:rPr>
          <w:rFonts w:ascii="Arial" w:eastAsia="Times New Roman" w:hAnsi="Arial" w:cs="Arial"/>
          <w:lang w:eastAsia="pl-PL"/>
        </w:rPr>
      </w:pPr>
      <w:r w:rsidRPr="00FF5C75">
        <w:rPr>
          <w:rFonts w:ascii="Arial" w:eastAsia="Times New Roman" w:hAnsi="Arial" w:cs="Arial"/>
          <w:lang w:eastAsia="pl-PL"/>
        </w:rPr>
        <w:t xml:space="preserve">Powyższy akt prawny ogłoszony został </w:t>
      </w:r>
      <w:r w:rsidR="00FF5C75">
        <w:rPr>
          <w:rFonts w:ascii="Arial" w:eastAsia="Times New Roman" w:hAnsi="Arial" w:cs="Arial"/>
          <w:lang w:eastAsia="pl-PL"/>
        </w:rPr>
        <w:t>27 maja</w:t>
      </w:r>
      <w:r w:rsidRPr="00FF5C75">
        <w:rPr>
          <w:rFonts w:ascii="Arial" w:eastAsia="Times New Roman" w:hAnsi="Arial" w:cs="Arial"/>
          <w:lang w:eastAsia="pl-PL"/>
        </w:rPr>
        <w:t xml:space="preserve"> 202</w:t>
      </w:r>
      <w:r w:rsidR="00FF5C75">
        <w:rPr>
          <w:rFonts w:ascii="Arial" w:eastAsia="Times New Roman" w:hAnsi="Arial" w:cs="Arial"/>
          <w:lang w:eastAsia="pl-PL"/>
        </w:rPr>
        <w:t>6</w:t>
      </w:r>
      <w:r w:rsidRPr="00FF5C75">
        <w:rPr>
          <w:rFonts w:ascii="Arial" w:eastAsia="Times New Roman" w:hAnsi="Arial" w:cs="Arial"/>
          <w:lang w:eastAsia="pl-PL"/>
        </w:rPr>
        <w:t xml:space="preserve"> roku w Dzienniku Ustaw (Dz.U. z 202</w:t>
      </w:r>
      <w:r w:rsidR="00FF5C75">
        <w:rPr>
          <w:rFonts w:ascii="Arial" w:eastAsia="Times New Roman" w:hAnsi="Arial" w:cs="Arial"/>
          <w:lang w:eastAsia="pl-PL"/>
        </w:rPr>
        <w:t>6</w:t>
      </w:r>
      <w:r w:rsidRPr="00FF5C75">
        <w:rPr>
          <w:rFonts w:ascii="Arial" w:eastAsia="Times New Roman" w:hAnsi="Arial" w:cs="Arial"/>
          <w:lang w:eastAsia="pl-PL"/>
        </w:rPr>
        <w:t xml:space="preserve">, poz. </w:t>
      </w:r>
      <w:r w:rsidR="00FF5C75">
        <w:rPr>
          <w:rFonts w:ascii="Arial" w:eastAsia="Times New Roman" w:hAnsi="Arial" w:cs="Arial"/>
          <w:lang w:eastAsia="pl-PL"/>
        </w:rPr>
        <w:t>692</w:t>
      </w:r>
      <w:r w:rsidRPr="00FF5C75">
        <w:rPr>
          <w:rFonts w:ascii="Arial" w:eastAsia="Times New Roman" w:hAnsi="Arial" w:cs="Arial"/>
          <w:lang w:eastAsia="pl-PL"/>
        </w:rPr>
        <w:t>).</w:t>
      </w:r>
    </w:p>
    <w:p w14:paraId="7908C784" w14:textId="77777777" w:rsidR="00FF5C75" w:rsidRDefault="00FF5C75" w:rsidP="00FF5C75">
      <w:pPr>
        <w:spacing w:after="0" w:line="300" w:lineRule="auto"/>
        <w:jc w:val="both"/>
        <w:rPr>
          <w:rFonts w:ascii="Arial" w:eastAsia="Times New Roman" w:hAnsi="Arial" w:cs="Arial"/>
          <w:lang w:eastAsia="pl-PL"/>
        </w:rPr>
      </w:pPr>
    </w:p>
    <w:p w14:paraId="0F1A0D69" w14:textId="65398939" w:rsidR="000B5F44" w:rsidRDefault="00FF5C75" w:rsidP="00FF5C75">
      <w:pPr>
        <w:spacing w:after="0" w:line="300" w:lineRule="auto"/>
        <w:jc w:val="both"/>
        <w:rPr>
          <w:rFonts w:ascii="Arial" w:eastAsia="Times New Roman" w:hAnsi="Arial" w:cs="Arial"/>
          <w:lang w:eastAsia="pl-PL"/>
        </w:rPr>
      </w:pPr>
      <w:r>
        <w:rPr>
          <w:rFonts w:ascii="Arial" w:eastAsia="Times New Roman" w:hAnsi="Arial" w:cs="Arial"/>
          <w:lang w:eastAsia="pl-PL"/>
        </w:rPr>
        <w:t xml:space="preserve">Rozporządzenie zostało wydane na podstawie </w:t>
      </w:r>
      <w:r w:rsidRPr="00FF5C75">
        <w:rPr>
          <w:rFonts w:ascii="Arial" w:eastAsia="Times New Roman" w:hAnsi="Arial" w:cs="Arial"/>
          <w:lang w:eastAsia="pl-PL"/>
        </w:rPr>
        <w:t>art. 7 ust. 2 pkt 2 ustawy z dnia 7 lipca 1994 r. – Prawo budowlane (Dz. U. z 2026 r. poz. 524, 605 i 646)</w:t>
      </w:r>
      <w:r>
        <w:rPr>
          <w:rFonts w:ascii="Arial" w:eastAsia="Times New Roman" w:hAnsi="Arial" w:cs="Arial"/>
          <w:lang w:eastAsia="pl-PL"/>
        </w:rPr>
        <w:t>.</w:t>
      </w:r>
    </w:p>
    <w:p w14:paraId="48FF2EEE" w14:textId="77777777" w:rsidR="00FF5C75" w:rsidRDefault="00FF5C75" w:rsidP="00FF5C75">
      <w:pPr>
        <w:spacing w:after="0" w:line="300" w:lineRule="auto"/>
        <w:jc w:val="both"/>
        <w:rPr>
          <w:rFonts w:ascii="Arial" w:eastAsia="Times New Roman" w:hAnsi="Arial" w:cs="Arial"/>
          <w:lang w:eastAsia="pl-PL"/>
        </w:rPr>
      </w:pPr>
      <w:r w:rsidRPr="00FF5C75">
        <w:rPr>
          <w:rFonts w:ascii="Arial" w:eastAsia="Times New Roman" w:hAnsi="Arial" w:cs="Arial"/>
          <w:lang w:eastAsia="pl-PL"/>
        </w:rPr>
        <w:t xml:space="preserve">Przepisy rozporządzenia stosuje się przy projektowaniu, budowie i przebudowie budowli hydrotechnicznych. </w:t>
      </w:r>
    </w:p>
    <w:p w14:paraId="5D9387B2" w14:textId="77777777" w:rsidR="00FF5C75" w:rsidRDefault="00FF5C75" w:rsidP="00FF5C75">
      <w:pPr>
        <w:spacing w:after="0" w:line="300" w:lineRule="auto"/>
        <w:jc w:val="both"/>
        <w:rPr>
          <w:rFonts w:ascii="Arial" w:eastAsia="Times New Roman" w:hAnsi="Arial" w:cs="Arial"/>
          <w:lang w:eastAsia="pl-PL"/>
        </w:rPr>
      </w:pPr>
      <w:r w:rsidRPr="00FF5C75">
        <w:rPr>
          <w:rFonts w:ascii="Arial" w:eastAsia="Times New Roman" w:hAnsi="Arial" w:cs="Arial"/>
          <w:lang w:eastAsia="pl-PL"/>
        </w:rPr>
        <w:lastRenderedPageBreak/>
        <w:t xml:space="preserve">Budowle hydrotechniczne obejmują budowle wraz z urządzeniami i instalacjami technicznymi z nimi związanymi, służące gospodarce wodnej oraz kształtowaniu zasobów wodnych i korzystaniu z nich, w tym: zapory ziemne i betonowe, jazy, budowle upustowe z przelewami i spustami, przepusty wałowe i mnichy, śluzy żeglugowe, wały przeciwpowodziowe, bramy przeciwpowodziowe, siłownie i elektrownie wodne, ujęcia śródlądowych wód powierzchniowych i ujęć infiltracyjnych, wyloty ścieków oraz wód, w tym opadowych i roztopowych, czasze zbiorników wodnych wraz ze zboczami i skarpami, pompownie, kanały, sztolnie, rurociągi hydrotechniczne, syfony, lewary, akwedukty, budowle regulacyjne na rzekach i potokach, progi, </w:t>
      </w:r>
      <w:proofErr w:type="spellStart"/>
      <w:r w:rsidRPr="00FF5C75">
        <w:rPr>
          <w:rFonts w:ascii="Arial" w:eastAsia="Times New Roman" w:hAnsi="Arial" w:cs="Arial"/>
          <w:lang w:eastAsia="pl-PL"/>
        </w:rPr>
        <w:t>grodze</w:t>
      </w:r>
      <w:proofErr w:type="spellEnd"/>
      <w:r w:rsidRPr="00FF5C75">
        <w:rPr>
          <w:rFonts w:ascii="Arial" w:eastAsia="Times New Roman" w:hAnsi="Arial" w:cs="Arial"/>
          <w:lang w:eastAsia="pl-PL"/>
        </w:rPr>
        <w:t xml:space="preserve">, nadpoziomowe zbiorniki gromadzące substancje płynne i półpłynne, porty, baseny, zimowiska, pirsy, mola, pomosty, nabrzeża, bulwary, pochylnie, podnośnie i falochrony na wodach śródlądowych, przepławki dla ryb. </w:t>
      </w:r>
    </w:p>
    <w:p w14:paraId="4B330478" w14:textId="4E9002AD" w:rsidR="00FF5C75" w:rsidRPr="00FF5C75" w:rsidRDefault="00FF5C75" w:rsidP="00FF5C75">
      <w:pPr>
        <w:spacing w:after="0" w:line="300" w:lineRule="auto"/>
        <w:jc w:val="both"/>
        <w:rPr>
          <w:rFonts w:ascii="Arial" w:eastAsia="Times New Roman" w:hAnsi="Arial" w:cs="Arial"/>
          <w:lang w:eastAsia="pl-PL"/>
        </w:rPr>
      </w:pPr>
      <w:r w:rsidRPr="00FF5C75">
        <w:rPr>
          <w:rFonts w:ascii="Arial" w:eastAsia="Times New Roman" w:hAnsi="Arial" w:cs="Arial"/>
          <w:lang w:eastAsia="pl-PL"/>
        </w:rPr>
        <w:t>Przepisów rozporządzenia nie stosuje się do morskich budowli hydrotechnicznych i urządzeń melioracji wodnych</w:t>
      </w:r>
      <w:r>
        <w:rPr>
          <w:rFonts w:ascii="Arial" w:eastAsia="Times New Roman" w:hAnsi="Arial" w:cs="Arial"/>
          <w:lang w:eastAsia="pl-PL"/>
        </w:rPr>
        <w:t>.</w:t>
      </w:r>
    </w:p>
    <w:p w14:paraId="1091600C" w14:textId="77777777" w:rsidR="00FF5C75" w:rsidRDefault="00FF5C75" w:rsidP="00FF5C75">
      <w:pPr>
        <w:spacing w:after="0" w:line="300" w:lineRule="auto"/>
        <w:jc w:val="both"/>
        <w:rPr>
          <w:rStyle w:val="markedcontent"/>
          <w:rFonts w:ascii="Arial" w:hAnsi="Arial" w:cs="Arial"/>
        </w:rPr>
      </w:pPr>
    </w:p>
    <w:p w14:paraId="77144C86" w14:textId="4DB2DF13" w:rsidR="000B5F44" w:rsidRDefault="00FF5C75" w:rsidP="000B5F44">
      <w:pPr>
        <w:spacing w:after="0" w:line="300" w:lineRule="auto"/>
        <w:jc w:val="both"/>
        <w:rPr>
          <w:rStyle w:val="markedcontent"/>
          <w:rFonts w:ascii="Arial" w:hAnsi="Arial" w:cs="Arial"/>
        </w:rPr>
      </w:pPr>
      <w:r w:rsidRPr="00FF5C75">
        <w:rPr>
          <w:rStyle w:val="markedcontent"/>
          <w:rFonts w:ascii="Arial" w:hAnsi="Arial" w:cs="Arial"/>
        </w:rPr>
        <w:t>Rozporządzenie wchodzi w życie po upływie 14 dni od dnia ogłoszeni</w:t>
      </w:r>
      <w:r>
        <w:rPr>
          <w:rStyle w:val="markedcontent"/>
          <w:rFonts w:ascii="Arial" w:hAnsi="Arial" w:cs="Arial"/>
        </w:rPr>
        <w:t>a.</w:t>
      </w:r>
    </w:p>
    <w:p w14:paraId="64098BFC" w14:textId="77777777" w:rsidR="00FF5C75" w:rsidRDefault="00FF5C75" w:rsidP="000B5F44">
      <w:pPr>
        <w:spacing w:after="0" w:line="300" w:lineRule="auto"/>
        <w:jc w:val="both"/>
        <w:rPr>
          <w:rFonts w:ascii="Arial" w:hAnsi="Arial" w:cs="Arial"/>
        </w:rPr>
      </w:pPr>
    </w:p>
    <w:p w14:paraId="60C8BA06" w14:textId="0E900749" w:rsidR="000B5F44" w:rsidRPr="00FF5C75" w:rsidRDefault="00FF5C75" w:rsidP="000B5F44">
      <w:pPr>
        <w:pStyle w:val="Akapitzlist"/>
        <w:numPr>
          <w:ilvl w:val="0"/>
          <w:numId w:val="2"/>
        </w:numPr>
        <w:spacing w:after="0" w:line="300" w:lineRule="auto"/>
        <w:ind w:left="426" w:hanging="426"/>
        <w:jc w:val="both"/>
        <w:rPr>
          <w:rFonts w:ascii="Arial" w:eastAsia="Times New Roman" w:hAnsi="Arial" w:cs="Arial"/>
          <w:b/>
          <w:bCs/>
          <w:u w:val="single"/>
          <w:lang w:eastAsia="pl-PL"/>
        </w:rPr>
      </w:pPr>
      <w:r w:rsidRPr="00FF5C75">
        <w:rPr>
          <w:rFonts w:ascii="Arial" w:hAnsi="Arial" w:cs="Arial"/>
          <w:b/>
          <w:bCs/>
          <w:u w:val="single"/>
        </w:rPr>
        <w:t>Rozporządzenie Ministra Zdrowia z dnia 25 maja 2026 r. zmieniające rozporządzenie w sprawie bezpieczeństwa i higieny pracy związanej z występowaniem w miejscu pracy czynników chemicznych</w:t>
      </w:r>
      <w:r w:rsidRPr="00FF5C75">
        <w:rPr>
          <w:rFonts w:ascii="Arial" w:hAnsi="Arial" w:cs="Arial"/>
          <w:b/>
          <w:bCs/>
          <w:u w:val="single"/>
        </w:rPr>
        <w:t>.</w:t>
      </w:r>
    </w:p>
    <w:p w14:paraId="7083F218" w14:textId="77777777" w:rsidR="00FF5C75" w:rsidRPr="00FF5C75" w:rsidRDefault="00FF5C75" w:rsidP="00FF5C75">
      <w:pPr>
        <w:spacing w:after="0" w:line="300" w:lineRule="auto"/>
        <w:jc w:val="both"/>
        <w:rPr>
          <w:rFonts w:ascii="Arial" w:eastAsia="Times New Roman" w:hAnsi="Arial" w:cs="Arial"/>
          <w:u w:val="single"/>
          <w:lang w:eastAsia="pl-PL"/>
        </w:rPr>
      </w:pPr>
    </w:p>
    <w:p w14:paraId="0F955013" w14:textId="3329307C" w:rsidR="000B5F44" w:rsidRPr="00287656" w:rsidRDefault="000B5F44" w:rsidP="00FF5C75">
      <w:pPr>
        <w:spacing w:after="0" w:line="300" w:lineRule="auto"/>
        <w:jc w:val="both"/>
        <w:rPr>
          <w:rFonts w:ascii="Arial" w:eastAsia="Times New Roman" w:hAnsi="Arial" w:cs="Arial"/>
          <w:lang w:eastAsia="pl-PL"/>
        </w:rPr>
      </w:pPr>
      <w:r w:rsidRPr="00287656">
        <w:rPr>
          <w:rFonts w:ascii="Arial" w:eastAsia="Times New Roman" w:hAnsi="Arial" w:cs="Arial"/>
          <w:lang w:eastAsia="pl-PL"/>
        </w:rPr>
        <w:t>Powyższy akt prawny o</w:t>
      </w:r>
      <w:r>
        <w:rPr>
          <w:rFonts w:ascii="Arial" w:eastAsia="Times New Roman" w:hAnsi="Arial" w:cs="Arial"/>
          <w:lang w:eastAsia="pl-PL"/>
        </w:rPr>
        <w:t>głoszony</w:t>
      </w:r>
      <w:r w:rsidRPr="00287656">
        <w:rPr>
          <w:rFonts w:ascii="Arial" w:eastAsia="Times New Roman" w:hAnsi="Arial" w:cs="Arial"/>
          <w:lang w:eastAsia="pl-PL"/>
        </w:rPr>
        <w:t xml:space="preserve"> został </w:t>
      </w:r>
      <w:r w:rsidR="00FF5C75">
        <w:rPr>
          <w:rFonts w:ascii="Arial" w:eastAsia="Times New Roman" w:hAnsi="Arial" w:cs="Arial"/>
          <w:lang w:eastAsia="pl-PL"/>
        </w:rPr>
        <w:t>27 maja</w:t>
      </w:r>
      <w:r w:rsidRPr="00287656">
        <w:rPr>
          <w:rFonts w:ascii="Arial" w:eastAsia="Times New Roman" w:hAnsi="Arial" w:cs="Arial"/>
          <w:lang w:eastAsia="pl-PL"/>
        </w:rPr>
        <w:t xml:space="preserve"> 20</w:t>
      </w:r>
      <w:r>
        <w:rPr>
          <w:rFonts w:ascii="Arial" w:eastAsia="Times New Roman" w:hAnsi="Arial" w:cs="Arial"/>
          <w:lang w:eastAsia="pl-PL"/>
        </w:rPr>
        <w:t>2</w:t>
      </w:r>
      <w:r w:rsidR="00FF5C75">
        <w:rPr>
          <w:rFonts w:ascii="Arial" w:eastAsia="Times New Roman" w:hAnsi="Arial" w:cs="Arial"/>
          <w:lang w:eastAsia="pl-PL"/>
        </w:rPr>
        <w:t>6</w:t>
      </w:r>
      <w:r w:rsidRPr="00287656">
        <w:rPr>
          <w:rFonts w:ascii="Arial" w:eastAsia="Times New Roman" w:hAnsi="Arial" w:cs="Arial"/>
          <w:lang w:eastAsia="pl-PL"/>
        </w:rPr>
        <w:t xml:space="preserve"> roku w Dzienniku Ustaw (Dz.U. z 202</w:t>
      </w:r>
      <w:r w:rsidR="00FF5C75">
        <w:rPr>
          <w:rFonts w:ascii="Arial" w:eastAsia="Times New Roman" w:hAnsi="Arial" w:cs="Arial"/>
          <w:lang w:eastAsia="pl-PL"/>
        </w:rPr>
        <w:t>6</w:t>
      </w:r>
      <w:r w:rsidRPr="00287656">
        <w:rPr>
          <w:rFonts w:ascii="Arial" w:eastAsia="Times New Roman" w:hAnsi="Arial" w:cs="Arial"/>
          <w:lang w:eastAsia="pl-PL"/>
        </w:rPr>
        <w:t xml:space="preserve">, poz. </w:t>
      </w:r>
      <w:r w:rsidR="00FF5C75">
        <w:rPr>
          <w:rFonts w:ascii="Arial" w:eastAsia="Times New Roman" w:hAnsi="Arial" w:cs="Arial"/>
          <w:lang w:eastAsia="pl-PL"/>
        </w:rPr>
        <w:t>694).</w:t>
      </w:r>
    </w:p>
    <w:p w14:paraId="048D592B" w14:textId="77777777" w:rsidR="00FF5C75" w:rsidRDefault="00FF5C75" w:rsidP="00FF5C75">
      <w:pPr>
        <w:spacing w:after="0" w:line="300" w:lineRule="auto"/>
        <w:jc w:val="both"/>
        <w:rPr>
          <w:rFonts w:ascii="Arial" w:eastAsia="Times New Roman" w:hAnsi="Arial" w:cs="Arial"/>
          <w:lang w:eastAsia="pl-PL"/>
        </w:rPr>
      </w:pPr>
    </w:p>
    <w:p w14:paraId="6E2D9ED9" w14:textId="5B0B7876" w:rsidR="000B5F44" w:rsidRDefault="00FF5C75" w:rsidP="00FF5C75">
      <w:pPr>
        <w:spacing w:after="0" w:line="300" w:lineRule="auto"/>
        <w:jc w:val="both"/>
        <w:rPr>
          <w:rFonts w:ascii="Arial" w:eastAsia="Times New Roman" w:hAnsi="Arial" w:cs="Arial"/>
          <w:lang w:eastAsia="pl-PL"/>
        </w:rPr>
      </w:pPr>
      <w:r w:rsidRPr="00FF5C75">
        <w:rPr>
          <w:rFonts w:ascii="Arial" w:eastAsia="Times New Roman" w:hAnsi="Arial" w:cs="Arial"/>
          <w:lang w:eastAsia="pl-PL"/>
        </w:rPr>
        <w:t>Rozporządzenie zostało wydane na podstawie</w:t>
      </w:r>
      <w:r w:rsidRPr="00FF5C75">
        <w:t xml:space="preserve"> </w:t>
      </w:r>
      <w:r w:rsidRPr="00FF5C75">
        <w:rPr>
          <w:rFonts w:ascii="Arial" w:eastAsia="Times New Roman" w:hAnsi="Arial" w:cs="Arial"/>
          <w:lang w:eastAsia="pl-PL"/>
        </w:rPr>
        <w:t>art. 237</w:t>
      </w:r>
      <w:r w:rsidRPr="00FF5C75">
        <w:rPr>
          <w:rFonts w:ascii="Arial" w:eastAsia="Times New Roman" w:hAnsi="Arial" w:cs="Arial"/>
          <w:vertAlign w:val="superscript"/>
          <w:lang w:eastAsia="pl-PL"/>
        </w:rPr>
        <w:t>[15]</w:t>
      </w:r>
      <w:r w:rsidRPr="00FF5C75">
        <w:rPr>
          <w:rFonts w:ascii="Arial" w:eastAsia="Times New Roman" w:hAnsi="Arial" w:cs="Arial"/>
          <w:lang w:eastAsia="pl-PL"/>
        </w:rPr>
        <w:t xml:space="preserve"> § 2 ustawy z dnia 26 czerwca 1974 r. – Kodeks pracy (Dz. U. z 2025 r. poz. 277, 807, 1423 i 1661 oraz z 2026 r. poz. 25 i 473)</w:t>
      </w:r>
      <w:r>
        <w:rPr>
          <w:rFonts w:ascii="Arial" w:eastAsia="Times New Roman" w:hAnsi="Arial" w:cs="Arial"/>
          <w:lang w:eastAsia="pl-PL"/>
        </w:rPr>
        <w:t>.</w:t>
      </w:r>
    </w:p>
    <w:p w14:paraId="371C459D" w14:textId="77777777" w:rsidR="00FF5C75" w:rsidRDefault="00FF5C75" w:rsidP="00FF5C75">
      <w:pPr>
        <w:spacing w:after="0" w:line="300" w:lineRule="auto"/>
        <w:jc w:val="both"/>
        <w:rPr>
          <w:rFonts w:ascii="Arial" w:eastAsia="Times New Roman" w:hAnsi="Arial" w:cs="Arial"/>
          <w:lang w:eastAsia="pl-PL"/>
        </w:rPr>
      </w:pPr>
      <w:r w:rsidRPr="00FF5C75">
        <w:rPr>
          <w:rFonts w:ascii="Arial" w:eastAsia="Times New Roman" w:hAnsi="Arial" w:cs="Arial"/>
          <w:lang w:eastAsia="pl-PL"/>
        </w:rPr>
        <w:t xml:space="preserve">W rozporządzeniu Ministra Zdrowia z dnia 30 grudnia 2004 r. w sprawie bezpieczeństwa i higieny pracy związanej z występowaniem w miejscu pracy czynników chemicznych (Dz. U. z 2025 r. poz. 836) wprowadza się następujące zmiany: </w:t>
      </w:r>
    </w:p>
    <w:p w14:paraId="30EB67D2" w14:textId="0F96309C" w:rsidR="004E7FF1" w:rsidRPr="004E7FF1" w:rsidRDefault="004E7FF1" w:rsidP="004E7FF1">
      <w:pPr>
        <w:spacing w:after="0" w:line="300" w:lineRule="auto"/>
        <w:jc w:val="both"/>
        <w:rPr>
          <w:rFonts w:ascii="Arial" w:eastAsia="Times New Roman" w:hAnsi="Arial" w:cs="Arial"/>
          <w:lang w:eastAsia="pl-PL"/>
        </w:rPr>
      </w:pPr>
      <w:r>
        <w:rPr>
          <w:rFonts w:ascii="Arial" w:eastAsia="Times New Roman" w:hAnsi="Arial" w:cs="Arial"/>
          <w:lang w:eastAsia="pl-PL"/>
        </w:rPr>
        <w:t xml:space="preserve">1) </w:t>
      </w:r>
      <w:r w:rsidR="00FF5C75" w:rsidRPr="004E7FF1">
        <w:rPr>
          <w:rFonts w:ascii="Arial" w:eastAsia="Times New Roman" w:hAnsi="Arial" w:cs="Arial"/>
          <w:lang w:eastAsia="pl-PL"/>
        </w:rPr>
        <w:t xml:space="preserve">w odnośniku nr 2 do tytułu rozporządzenia w pkt 2 kropkę zastępuje się średnikiem i dodaje się pkt 3 w brzmieniu: </w:t>
      </w:r>
    </w:p>
    <w:p w14:paraId="7C107852" w14:textId="22EE742B" w:rsidR="00FF5C75" w:rsidRDefault="00FF5C75" w:rsidP="004E7FF1">
      <w:pPr>
        <w:pStyle w:val="Akapitzlist"/>
        <w:spacing w:after="0" w:line="300" w:lineRule="auto"/>
        <w:jc w:val="both"/>
        <w:rPr>
          <w:rFonts w:ascii="Arial" w:eastAsia="Times New Roman" w:hAnsi="Arial" w:cs="Arial"/>
          <w:lang w:eastAsia="pl-PL"/>
        </w:rPr>
      </w:pPr>
      <w:r w:rsidRPr="004E7FF1">
        <w:rPr>
          <w:rFonts w:ascii="Arial" w:eastAsia="Times New Roman" w:hAnsi="Arial" w:cs="Arial"/>
          <w:lang w:eastAsia="pl-PL"/>
        </w:rPr>
        <w:t xml:space="preserve">„3) Parlamentu Europejskiego i Rady (UE) 2024/869 z dnia 13 marca 2024 r. w sprawie zmiany dyrektywy 2004/37/WE Parlamentu Europejskiego i Rady i dyrektywy Rady 98/24/WE w odniesieniu do wartości dopuszczalnych dla ołowiu i jego związków nieorganicznych oraz dla </w:t>
      </w:r>
      <w:proofErr w:type="spellStart"/>
      <w:r w:rsidRPr="004E7FF1">
        <w:rPr>
          <w:rFonts w:ascii="Arial" w:eastAsia="Times New Roman" w:hAnsi="Arial" w:cs="Arial"/>
          <w:lang w:eastAsia="pl-PL"/>
        </w:rPr>
        <w:t>diizocyjanianów</w:t>
      </w:r>
      <w:proofErr w:type="spellEnd"/>
      <w:r w:rsidRPr="004E7FF1">
        <w:rPr>
          <w:rFonts w:ascii="Arial" w:eastAsia="Times New Roman" w:hAnsi="Arial" w:cs="Arial"/>
          <w:lang w:eastAsia="pl-PL"/>
        </w:rPr>
        <w:t xml:space="preserve"> (Dz. Urz. UE L 2024/869 z 19.03.2024).”;</w:t>
      </w:r>
    </w:p>
    <w:p w14:paraId="0B2F0526" w14:textId="77777777" w:rsidR="004E7FF1" w:rsidRPr="004E7FF1" w:rsidRDefault="004E7FF1" w:rsidP="004E7FF1">
      <w:pPr>
        <w:spacing w:after="0" w:line="300" w:lineRule="auto"/>
        <w:jc w:val="both"/>
        <w:rPr>
          <w:rFonts w:ascii="Arial" w:eastAsia="Times New Roman" w:hAnsi="Arial" w:cs="Arial"/>
          <w:lang w:eastAsia="pl-PL"/>
        </w:rPr>
      </w:pPr>
    </w:p>
    <w:p w14:paraId="7DA66ED3" w14:textId="77777777" w:rsidR="00FF5C75" w:rsidRDefault="00FF5C75" w:rsidP="00FF5C75">
      <w:pPr>
        <w:spacing w:after="0" w:line="300" w:lineRule="auto"/>
        <w:jc w:val="both"/>
        <w:rPr>
          <w:rFonts w:ascii="Arial" w:eastAsia="Times New Roman" w:hAnsi="Arial" w:cs="Arial"/>
          <w:lang w:eastAsia="pl-PL"/>
        </w:rPr>
      </w:pPr>
      <w:r w:rsidRPr="00FF5C75">
        <w:rPr>
          <w:rFonts w:ascii="Arial" w:eastAsia="Times New Roman" w:hAnsi="Arial" w:cs="Arial"/>
          <w:lang w:eastAsia="pl-PL"/>
        </w:rPr>
        <w:t xml:space="preserve">2) w § 13: </w:t>
      </w:r>
    </w:p>
    <w:p w14:paraId="43C8D1B7" w14:textId="77777777" w:rsidR="004E7FF1" w:rsidRDefault="00FF5C75" w:rsidP="00FF5C75">
      <w:pPr>
        <w:spacing w:after="0" w:line="300" w:lineRule="auto"/>
        <w:jc w:val="both"/>
        <w:rPr>
          <w:rFonts w:ascii="Arial" w:eastAsia="Times New Roman" w:hAnsi="Arial" w:cs="Arial"/>
          <w:lang w:eastAsia="pl-PL"/>
        </w:rPr>
      </w:pPr>
      <w:r w:rsidRPr="00FF5C75">
        <w:rPr>
          <w:rFonts w:ascii="Arial" w:eastAsia="Times New Roman" w:hAnsi="Arial" w:cs="Arial"/>
          <w:lang w:eastAsia="pl-PL"/>
        </w:rPr>
        <w:t xml:space="preserve">a) w ust. 2 wyrazy „50 µg Pb/100 ml krwi” zastępuje się wyrazami „15 µg Pb/100 ml krwi”, </w:t>
      </w:r>
    </w:p>
    <w:p w14:paraId="5AE9FB8C" w14:textId="77777777" w:rsidR="004E7FF1" w:rsidRDefault="00FF5C75" w:rsidP="00FF5C75">
      <w:pPr>
        <w:spacing w:after="0" w:line="300" w:lineRule="auto"/>
        <w:jc w:val="both"/>
        <w:rPr>
          <w:rFonts w:ascii="Arial" w:eastAsia="Times New Roman" w:hAnsi="Arial" w:cs="Arial"/>
          <w:lang w:eastAsia="pl-PL"/>
        </w:rPr>
      </w:pPr>
      <w:r w:rsidRPr="00FF5C75">
        <w:rPr>
          <w:rFonts w:ascii="Arial" w:eastAsia="Times New Roman" w:hAnsi="Arial" w:cs="Arial"/>
          <w:lang w:eastAsia="pl-PL"/>
        </w:rPr>
        <w:t xml:space="preserve">b) dodaje się ust. 3 w brzmieniu: </w:t>
      </w:r>
    </w:p>
    <w:p w14:paraId="65B184DD" w14:textId="77777777" w:rsidR="004E7FF1" w:rsidRDefault="00FF5C75" w:rsidP="004E7FF1">
      <w:pPr>
        <w:spacing w:after="0" w:line="300" w:lineRule="auto"/>
        <w:ind w:left="708"/>
        <w:jc w:val="both"/>
        <w:rPr>
          <w:rFonts w:ascii="Arial" w:eastAsia="Times New Roman" w:hAnsi="Arial" w:cs="Arial"/>
          <w:lang w:eastAsia="pl-PL"/>
        </w:rPr>
      </w:pPr>
      <w:r w:rsidRPr="00FF5C75">
        <w:rPr>
          <w:rFonts w:ascii="Arial" w:eastAsia="Times New Roman" w:hAnsi="Arial" w:cs="Arial"/>
          <w:lang w:eastAsia="pl-PL"/>
        </w:rPr>
        <w:t xml:space="preserve">„3. Zaleca się, aby stężenie ołowiu w materiale biologicznym dla ołowiu kobiet w wieku rozrodczym nie przekraczało 4,5 </w:t>
      </w:r>
      <w:proofErr w:type="spellStart"/>
      <w:r w:rsidRPr="00FF5C75">
        <w:rPr>
          <w:rFonts w:ascii="Arial" w:eastAsia="Times New Roman" w:hAnsi="Arial" w:cs="Arial"/>
          <w:lang w:eastAsia="pl-PL"/>
        </w:rPr>
        <w:t>μg</w:t>
      </w:r>
      <w:proofErr w:type="spellEnd"/>
      <w:r w:rsidRPr="00FF5C75">
        <w:rPr>
          <w:rFonts w:ascii="Arial" w:eastAsia="Times New Roman" w:hAnsi="Arial" w:cs="Arial"/>
          <w:lang w:eastAsia="pl-PL"/>
        </w:rPr>
        <w:t xml:space="preserve"> Pb/100 ml krwi.”; </w:t>
      </w:r>
    </w:p>
    <w:p w14:paraId="32F2FC12" w14:textId="77777777" w:rsidR="004E7FF1" w:rsidRDefault="00FF5C75" w:rsidP="00FF5C75">
      <w:pPr>
        <w:spacing w:after="0" w:line="300" w:lineRule="auto"/>
        <w:jc w:val="both"/>
        <w:rPr>
          <w:rFonts w:ascii="Arial" w:eastAsia="Times New Roman" w:hAnsi="Arial" w:cs="Arial"/>
          <w:lang w:eastAsia="pl-PL"/>
        </w:rPr>
      </w:pPr>
      <w:r w:rsidRPr="00FF5C75">
        <w:rPr>
          <w:rFonts w:ascii="Arial" w:eastAsia="Times New Roman" w:hAnsi="Arial" w:cs="Arial"/>
          <w:lang w:eastAsia="pl-PL"/>
        </w:rPr>
        <w:t xml:space="preserve">3) po § 13 dodaje się § 13a w brzmieniu: </w:t>
      </w:r>
    </w:p>
    <w:p w14:paraId="0651604D" w14:textId="77777777" w:rsidR="004E7FF1" w:rsidRDefault="00FF5C75" w:rsidP="004E7FF1">
      <w:pPr>
        <w:spacing w:after="0" w:line="300" w:lineRule="auto"/>
        <w:ind w:left="708"/>
        <w:jc w:val="both"/>
        <w:rPr>
          <w:rFonts w:ascii="Arial" w:eastAsia="Times New Roman" w:hAnsi="Arial" w:cs="Arial"/>
          <w:lang w:eastAsia="pl-PL"/>
        </w:rPr>
      </w:pPr>
      <w:r w:rsidRPr="00FF5C75">
        <w:rPr>
          <w:rFonts w:ascii="Arial" w:eastAsia="Times New Roman" w:hAnsi="Arial" w:cs="Arial"/>
          <w:lang w:eastAsia="pl-PL"/>
        </w:rPr>
        <w:t xml:space="preserve">„§ 13a. Do dnia 31 grudnia 2028 r. wartość dopuszczalnego stężenia w materiale biologicznym dla ołowiu wynosi 30 </w:t>
      </w:r>
      <w:proofErr w:type="spellStart"/>
      <w:r w:rsidRPr="00FF5C75">
        <w:rPr>
          <w:rFonts w:ascii="Arial" w:eastAsia="Times New Roman" w:hAnsi="Arial" w:cs="Arial"/>
          <w:lang w:eastAsia="pl-PL"/>
        </w:rPr>
        <w:t>μg</w:t>
      </w:r>
      <w:proofErr w:type="spellEnd"/>
      <w:r w:rsidRPr="00FF5C75">
        <w:rPr>
          <w:rFonts w:ascii="Arial" w:eastAsia="Times New Roman" w:hAnsi="Arial" w:cs="Arial"/>
          <w:lang w:eastAsia="pl-PL"/>
        </w:rPr>
        <w:t xml:space="preserve"> Pb/100 ml krwi.”. </w:t>
      </w:r>
    </w:p>
    <w:p w14:paraId="785099B3" w14:textId="2E6761E4" w:rsidR="00FF5C75" w:rsidRPr="00287656" w:rsidRDefault="00FF5C75" w:rsidP="00FF5C75">
      <w:pPr>
        <w:spacing w:after="0" w:line="300" w:lineRule="auto"/>
        <w:jc w:val="both"/>
        <w:rPr>
          <w:rFonts w:ascii="Arial" w:eastAsia="Times New Roman" w:hAnsi="Arial" w:cs="Arial"/>
          <w:lang w:eastAsia="pl-PL"/>
        </w:rPr>
      </w:pPr>
      <w:r w:rsidRPr="00FF5C75">
        <w:rPr>
          <w:rFonts w:ascii="Arial" w:eastAsia="Times New Roman" w:hAnsi="Arial" w:cs="Arial"/>
          <w:lang w:eastAsia="pl-PL"/>
        </w:rPr>
        <w:lastRenderedPageBreak/>
        <w:t xml:space="preserve">Wartość dopuszczalnego stężenia ołowiu w materiale biologicznym dla ołowiu, określona w § 13 ust. 2 rozporządzenia zmienianego w § 1 w brzmieniu nadanym </w:t>
      </w:r>
      <w:r w:rsidR="004E7FF1">
        <w:rPr>
          <w:rFonts w:ascii="Arial" w:eastAsia="Times New Roman" w:hAnsi="Arial" w:cs="Arial"/>
          <w:lang w:eastAsia="pl-PL"/>
        </w:rPr>
        <w:t>omawianym</w:t>
      </w:r>
      <w:r w:rsidRPr="00FF5C75">
        <w:rPr>
          <w:rFonts w:ascii="Arial" w:eastAsia="Times New Roman" w:hAnsi="Arial" w:cs="Arial"/>
          <w:lang w:eastAsia="pl-PL"/>
        </w:rPr>
        <w:t xml:space="preserve"> rozporządzeniem, stosuje się od dnia 1 stycznia 2029 r.</w:t>
      </w:r>
    </w:p>
    <w:p w14:paraId="3F3D9E50" w14:textId="77777777" w:rsidR="00FF5C75" w:rsidRDefault="00FF5C75" w:rsidP="00FF5C75">
      <w:pPr>
        <w:spacing w:after="0" w:line="300" w:lineRule="auto"/>
        <w:jc w:val="both"/>
        <w:rPr>
          <w:rStyle w:val="markedcontent"/>
          <w:rFonts w:ascii="Arial" w:hAnsi="Arial" w:cs="Arial"/>
        </w:rPr>
      </w:pPr>
    </w:p>
    <w:p w14:paraId="4C8A9880" w14:textId="3BD5D58B" w:rsidR="000B5F44" w:rsidRDefault="004E7FF1" w:rsidP="004E7FF1">
      <w:pPr>
        <w:spacing w:after="0" w:line="300" w:lineRule="auto"/>
        <w:jc w:val="both"/>
        <w:rPr>
          <w:rStyle w:val="markedcontent"/>
          <w:rFonts w:ascii="Arial" w:hAnsi="Arial" w:cs="Arial"/>
        </w:rPr>
      </w:pPr>
      <w:r w:rsidRPr="004E7FF1">
        <w:rPr>
          <w:rStyle w:val="markedcontent"/>
          <w:rFonts w:ascii="Arial" w:hAnsi="Arial" w:cs="Arial"/>
        </w:rPr>
        <w:t>Rozporządzenie w</w:t>
      </w:r>
      <w:r>
        <w:rPr>
          <w:rStyle w:val="markedcontent"/>
          <w:rFonts w:ascii="Arial" w:hAnsi="Arial" w:cs="Arial"/>
        </w:rPr>
        <w:t>eszło</w:t>
      </w:r>
      <w:r w:rsidRPr="004E7FF1">
        <w:rPr>
          <w:rStyle w:val="markedcontent"/>
          <w:rFonts w:ascii="Arial" w:hAnsi="Arial" w:cs="Arial"/>
        </w:rPr>
        <w:t xml:space="preserve"> w życie z dniem następującym po dniu ogłoszenia.</w:t>
      </w:r>
    </w:p>
    <w:p w14:paraId="5DFB5E84" w14:textId="77777777" w:rsidR="004E7FF1" w:rsidRPr="004E7FF1" w:rsidRDefault="004E7FF1" w:rsidP="004E7FF1">
      <w:pPr>
        <w:spacing w:after="0" w:line="300" w:lineRule="auto"/>
        <w:jc w:val="both"/>
        <w:rPr>
          <w:rStyle w:val="markedcontent"/>
          <w:rFonts w:ascii="Arial" w:eastAsia="Times New Roman" w:hAnsi="Arial" w:cs="Arial"/>
          <w:u w:val="single"/>
          <w:lang w:eastAsia="pl-PL"/>
        </w:rPr>
      </w:pPr>
    </w:p>
    <w:p w14:paraId="7C09480E" w14:textId="2DE3FD6E" w:rsidR="000B5F44" w:rsidRPr="006F1769" w:rsidRDefault="006F1769" w:rsidP="000B5F44">
      <w:pPr>
        <w:pStyle w:val="Akapitzlist"/>
        <w:numPr>
          <w:ilvl w:val="0"/>
          <w:numId w:val="2"/>
        </w:numPr>
        <w:spacing w:after="0" w:line="300" w:lineRule="auto"/>
        <w:ind w:left="426" w:hanging="426"/>
        <w:jc w:val="both"/>
        <w:rPr>
          <w:rStyle w:val="markedcontent"/>
          <w:rFonts w:ascii="Arial" w:eastAsia="Times New Roman" w:hAnsi="Arial" w:cs="Arial"/>
          <w:b/>
          <w:bCs/>
          <w:u w:val="single"/>
          <w:lang w:eastAsia="pl-PL"/>
        </w:rPr>
      </w:pPr>
      <w:r w:rsidRPr="006F1769">
        <w:rPr>
          <w:rStyle w:val="markedcontent"/>
          <w:rFonts w:ascii="Arial" w:eastAsia="Times New Roman" w:hAnsi="Arial" w:cs="Arial"/>
          <w:b/>
          <w:bCs/>
          <w:u w:val="single"/>
          <w:lang w:eastAsia="pl-PL"/>
        </w:rPr>
        <w:t>Rozporządzenie Rady Ministrów z dnia 26 maja 2026 r. zmieniające rozporządzenie w sprawie przedsięwzięć mogących znacząco oddziaływać na środowisko</w:t>
      </w:r>
      <w:r w:rsidRPr="006F1769">
        <w:rPr>
          <w:rStyle w:val="markedcontent"/>
          <w:rFonts w:ascii="Arial" w:eastAsia="Times New Roman" w:hAnsi="Arial" w:cs="Arial"/>
          <w:b/>
          <w:bCs/>
          <w:u w:val="single"/>
          <w:lang w:eastAsia="pl-PL"/>
        </w:rPr>
        <w:t>.</w:t>
      </w:r>
    </w:p>
    <w:p w14:paraId="0B1E2DF6" w14:textId="77777777" w:rsidR="000B5F44" w:rsidRPr="006F1769" w:rsidRDefault="000B5F44" w:rsidP="006F1769">
      <w:pPr>
        <w:pStyle w:val="Akapitzlist"/>
        <w:spacing w:after="0" w:line="300" w:lineRule="auto"/>
        <w:ind w:left="426"/>
        <w:jc w:val="both"/>
        <w:rPr>
          <w:rFonts w:ascii="Arial" w:eastAsia="Times New Roman" w:hAnsi="Arial" w:cs="Arial"/>
          <w:lang w:eastAsia="pl-PL"/>
        </w:rPr>
      </w:pPr>
    </w:p>
    <w:p w14:paraId="1FD5E6FF" w14:textId="00AF47FC" w:rsidR="000B5F44" w:rsidRPr="006F1769" w:rsidRDefault="006F1769" w:rsidP="006F1769">
      <w:pPr>
        <w:spacing w:after="0" w:line="300" w:lineRule="auto"/>
        <w:jc w:val="both"/>
        <w:rPr>
          <w:rFonts w:ascii="Arial" w:hAnsi="Arial" w:cs="Arial"/>
        </w:rPr>
      </w:pPr>
      <w:r w:rsidRPr="006F1769">
        <w:rPr>
          <w:rFonts w:ascii="Arial" w:hAnsi="Arial" w:cs="Arial"/>
        </w:rPr>
        <w:t>Powyższy akt prawny ogłoszony został 2</w:t>
      </w:r>
      <w:r w:rsidRPr="006F1769">
        <w:rPr>
          <w:rFonts w:ascii="Arial" w:hAnsi="Arial" w:cs="Arial"/>
        </w:rPr>
        <w:t>9</w:t>
      </w:r>
      <w:r w:rsidRPr="006F1769">
        <w:rPr>
          <w:rFonts w:ascii="Arial" w:hAnsi="Arial" w:cs="Arial"/>
        </w:rPr>
        <w:t xml:space="preserve"> maja 2026 roku w Dzienniku Ustaw (Dz.U. z 2026, poz. </w:t>
      </w:r>
      <w:r w:rsidRPr="006F1769">
        <w:rPr>
          <w:rFonts w:ascii="Arial" w:hAnsi="Arial" w:cs="Arial"/>
        </w:rPr>
        <w:t>70</w:t>
      </w:r>
      <w:r w:rsidRPr="006F1769">
        <w:rPr>
          <w:rFonts w:ascii="Arial" w:hAnsi="Arial" w:cs="Arial"/>
        </w:rPr>
        <w:t>6).</w:t>
      </w:r>
    </w:p>
    <w:p w14:paraId="0C7CBAA6" w14:textId="77777777" w:rsidR="00580328" w:rsidRPr="006F1769" w:rsidRDefault="00580328" w:rsidP="006F1769">
      <w:pPr>
        <w:spacing w:after="0" w:line="300" w:lineRule="auto"/>
        <w:rPr>
          <w:rFonts w:ascii="Arial" w:hAnsi="Arial" w:cs="Arial"/>
        </w:rPr>
      </w:pPr>
    </w:p>
    <w:p w14:paraId="4C104B9F" w14:textId="66871DAB" w:rsidR="006F1769" w:rsidRDefault="006F1769" w:rsidP="006F1769">
      <w:pPr>
        <w:spacing w:after="0" w:line="300" w:lineRule="auto"/>
        <w:jc w:val="both"/>
        <w:rPr>
          <w:rFonts w:ascii="Arial" w:hAnsi="Arial" w:cs="Arial"/>
        </w:rPr>
      </w:pPr>
      <w:r w:rsidRPr="006F1769">
        <w:rPr>
          <w:rFonts w:ascii="Arial" w:hAnsi="Arial" w:cs="Arial"/>
        </w:rPr>
        <w:t>Rozporządzenie zostało wydane na podstawie</w:t>
      </w:r>
      <w:r w:rsidRPr="006F1769">
        <w:rPr>
          <w:rFonts w:ascii="Arial" w:hAnsi="Arial" w:cs="Arial"/>
        </w:rPr>
        <w:t xml:space="preserve"> </w:t>
      </w:r>
      <w:r w:rsidRPr="006F1769">
        <w:rPr>
          <w:rFonts w:ascii="Arial" w:hAnsi="Arial" w:cs="Arial"/>
        </w:rPr>
        <w:t>art. 60 ustawy z dnia 3 października 2008 r. o udostępnianiu informacji o środowisku i jego ochronie, udziale społeczeństwa w ochronie środowiska oraz o ocenach oddziaływania na środowisko (Dz. U. z 2026 r. poz. 670)</w:t>
      </w:r>
      <w:r>
        <w:rPr>
          <w:rFonts w:ascii="Arial" w:hAnsi="Arial" w:cs="Arial"/>
        </w:rPr>
        <w:t>.</w:t>
      </w:r>
    </w:p>
    <w:p w14:paraId="0EA8E121" w14:textId="77777777" w:rsidR="00450E00" w:rsidRDefault="00450E00" w:rsidP="006F1769">
      <w:pPr>
        <w:spacing w:after="0" w:line="300" w:lineRule="auto"/>
        <w:jc w:val="both"/>
        <w:rPr>
          <w:rFonts w:ascii="Arial" w:hAnsi="Arial" w:cs="Arial"/>
        </w:rPr>
      </w:pPr>
      <w:r w:rsidRPr="00450E00">
        <w:rPr>
          <w:rFonts w:ascii="Arial" w:hAnsi="Arial" w:cs="Arial"/>
        </w:rPr>
        <w:t xml:space="preserve">W rozporządzeniu Rady Ministrów z dnia 10 września 2019 r. w sprawie przedsięwzięć mogących znacząco oddziaływać na środowisko (Dz. U. poz. 1839, z 2022 r. poz. 1071 oraz z 2023 r. poz. 1724) wprowadza się następujące zmiany: </w:t>
      </w:r>
    </w:p>
    <w:p w14:paraId="223C188E" w14:textId="77777777" w:rsidR="00450E00" w:rsidRDefault="00450E00" w:rsidP="006F1769">
      <w:pPr>
        <w:spacing w:after="0" w:line="300" w:lineRule="auto"/>
        <w:jc w:val="both"/>
        <w:rPr>
          <w:rFonts w:ascii="Arial" w:hAnsi="Arial" w:cs="Arial"/>
        </w:rPr>
      </w:pPr>
      <w:r w:rsidRPr="00450E00">
        <w:rPr>
          <w:rFonts w:ascii="Arial" w:hAnsi="Arial" w:cs="Arial"/>
        </w:rPr>
        <w:t xml:space="preserve">1) w § 2 w ust. 1 w pkt 5 w lit. a skreśla się wyraz „elektrowni”; </w:t>
      </w:r>
    </w:p>
    <w:p w14:paraId="3048AA0D" w14:textId="77777777" w:rsidR="00F82A70" w:rsidRDefault="00450E00" w:rsidP="006F1769">
      <w:pPr>
        <w:spacing w:after="0" w:line="300" w:lineRule="auto"/>
        <w:jc w:val="both"/>
        <w:rPr>
          <w:rFonts w:ascii="Arial" w:hAnsi="Arial" w:cs="Arial"/>
        </w:rPr>
      </w:pPr>
      <w:r w:rsidRPr="00450E00">
        <w:rPr>
          <w:rFonts w:ascii="Arial" w:hAnsi="Arial" w:cs="Arial"/>
        </w:rPr>
        <w:t xml:space="preserve">2) w § 3 w ust. 1 w pkt 6 lit. b otrzymuje brzmienie: </w:t>
      </w:r>
    </w:p>
    <w:p w14:paraId="049F4FE8" w14:textId="77777777" w:rsidR="00F82A70" w:rsidRDefault="00450E00" w:rsidP="006F1769">
      <w:pPr>
        <w:spacing w:after="0" w:line="300" w:lineRule="auto"/>
        <w:jc w:val="both"/>
        <w:rPr>
          <w:rFonts w:ascii="Arial" w:hAnsi="Arial" w:cs="Arial"/>
        </w:rPr>
      </w:pPr>
      <w:r w:rsidRPr="00450E00">
        <w:rPr>
          <w:rFonts w:ascii="Arial" w:hAnsi="Arial" w:cs="Arial"/>
        </w:rPr>
        <w:t xml:space="preserve">„b) o całkowitej wysokości </w:t>
      </w:r>
      <w:proofErr w:type="spellStart"/>
      <w:r w:rsidRPr="00450E00">
        <w:rPr>
          <w:rFonts w:ascii="Arial" w:hAnsi="Arial" w:cs="Arial"/>
        </w:rPr>
        <w:t>nieniższej</w:t>
      </w:r>
      <w:proofErr w:type="spellEnd"/>
      <w:r w:rsidRPr="00450E00">
        <w:rPr>
          <w:rFonts w:ascii="Arial" w:hAnsi="Arial" w:cs="Arial"/>
        </w:rPr>
        <w:t xml:space="preserve"> niż 30 m, z wyłączeniem ich rozbudowy, przebudowy lub montażu podejmowanych w celu zwiększenia o </w:t>
      </w:r>
      <w:proofErr w:type="spellStart"/>
      <w:r w:rsidRPr="00450E00">
        <w:rPr>
          <w:rFonts w:ascii="Arial" w:hAnsi="Arial" w:cs="Arial"/>
        </w:rPr>
        <w:t>niewięcej</w:t>
      </w:r>
      <w:proofErr w:type="spellEnd"/>
      <w:r w:rsidRPr="00450E00">
        <w:rPr>
          <w:rFonts w:ascii="Arial" w:hAnsi="Arial" w:cs="Arial"/>
        </w:rPr>
        <w:t xml:space="preserve"> niż 30 % zainstalowanej łącznej mocy nominalnej określonej w decyzji o środowiskowych uwarunkowaniach, na podstawie której instalacje zostały zrealizowane, o ile: </w:t>
      </w:r>
    </w:p>
    <w:p w14:paraId="33C84530" w14:textId="77777777" w:rsidR="00F82A70" w:rsidRDefault="00450E00" w:rsidP="006F1769">
      <w:pPr>
        <w:spacing w:after="0" w:line="300" w:lineRule="auto"/>
        <w:jc w:val="both"/>
        <w:rPr>
          <w:rFonts w:ascii="Arial" w:hAnsi="Arial" w:cs="Arial"/>
        </w:rPr>
      </w:pPr>
      <w:r w:rsidRPr="00450E00">
        <w:rPr>
          <w:rFonts w:ascii="Arial" w:hAnsi="Arial" w:cs="Arial"/>
        </w:rPr>
        <w:t xml:space="preserve">– nie zwiększy się liczba instalacji, </w:t>
      </w:r>
    </w:p>
    <w:p w14:paraId="67E33077" w14:textId="77777777" w:rsidR="00F82A70" w:rsidRDefault="00450E00" w:rsidP="006F1769">
      <w:pPr>
        <w:spacing w:after="0" w:line="300" w:lineRule="auto"/>
        <w:jc w:val="both"/>
        <w:rPr>
          <w:rFonts w:ascii="Arial" w:hAnsi="Arial" w:cs="Arial"/>
        </w:rPr>
      </w:pPr>
      <w:r w:rsidRPr="00450E00">
        <w:rPr>
          <w:rFonts w:ascii="Arial" w:hAnsi="Arial" w:cs="Arial"/>
        </w:rPr>
        <w:t xml:space="preserve">– nie nastąpi zmiana lokalizacji instalacji w promieniu większym niż 150 m od osi istniejącej wieży tej instalacji, </w:t>
      </w:r>
    </w:p>
    <w:p w14:paraId="2194E978" w14:textId="77777777" w:rsidR="00F82A70" w:rsidRDefault="00450E00" w:rsidP="006F1769">
      <w:pPr>
        <w:spacing w:after="0" w:line="300" w:lineRule="auto"/>
        <w:jc w:val="both"/>
        <w:rPr>
          <w:rFonts w:ascii="Arial" w:hAnsi="Arial" w:cs="Arial"/>
        </w:rPr>
      </w:pPr>
      <w:r w:rsidRPr="00450E00">
        <w:rPr>
          <w:rFonts w:ascii="Arial" w:hAnsi="Arial" w:cs="Arial"/>
        </w:rPr>
        <w:t xml:space="preserve">– oś wieży instalacji jest zlokalizowana lub będzie zlokalizowana w odległości niemniejszej niż 250 m od granicy lasu oraz </w:t>
      </w:r>
    </w:p>
    <w:p w14:paraId="16E1AC84" w14:textId="11C7304E" w:rsidR="006F1769" w:rsidRDefault="00450E00" w:rsidP="006F1769">
      <w:pPr>
        <w:spacing w:after="0" w:line="300" w:lineRule="auto"/>
        <w:jc w:val="both"/>
        <w:rPr>
          <w:rFonts w:ascii="Arial" w:hAnsi="Arial" w:cs="Arial"/>
        </w:rPr>
      </w:pPr>
      <w:r w:rsidRPr="00450E00">
        <w:rPr>
          <w:rFonts w:ascii="Arial" w:hAnsi="Arial" w:cs="Arial"/>
        </w:rPr>
        <w:t>– nie zostanie osiągnięty próg, o którym mowa w § 2 ust. 1 pkt 5 lit. a;”.</w:t>
      </w:r>
    </w:p>
    <w:p w14:paraId="42D80E39" w14:textId="77777777" w:rsidR="00F82A70" w:rsidRDefault="00F82A70" w:rsidP="006F1769">
      <w:pPr>
        <w:spacing w:after="0" w:line="300" w:lineRule="auto"/>
        <w:jc w:val="both"/>
        <w:rPr>
          <w:rFonts w:ascii="Arial" w:hAnsi="Arial" w:cs="Arial"/>
        </w:rPr>
      </w:pPr>
      <w:r w:rsidRPr="00F82A70">
        <w:rPr>
          <w:rFonts w:ascii="Arial" w:hAnsi="Arial" w:cs="Arial"/>
        </w:rPr>
        <w:t xml:space="preserve">Do przedsięwzięć, w przypadku których przed dniem wejścia w życie niniejszego rozporządzenia wszczęto i nie zakończono przynajmniej jednego z postępowań w sprawie: </w:t>
      </w:r>
    </w:p>
    <w:p w14:paraId="0CD25464" w14:textId="77777777" w:rsidR="00F82A70" w:rsidRDefault="00F82A70" w:rsidP="006F1769">
      <w:pPr>
        <w:spacing w:after="0" w:line="300" w:lineRule="auto"/>
        <w:jc w:val="both"/>
        <w:rPr>
          <w:rFonts w:ascii="Arial" w:hAnsi="Arial" w:cs="Arial"/>
        </w:rPr>
      </w:pPr>
      <w:r w:rsidRPr="00F82A70">
        <w:rPr>
          <w:rFonts w:ascii="Arial" w:hAnsi="Arial" w:cs="Arial"/>
        </w:rPr>
        <w:t xml:space="preserve">1) wydania decyzji, o których mowa w art. 72 ust. 1 ustawy z dnia 3 października 2008 r. o udostępnianiu informacji o środowisku i jego ochronie, udziale społeczeństwa w ochronie środowiska oraz o ocenach oddziaływania na środowisko (Dz. U. z 2026 r. poz. 670), </w:t>
      </w:r>
    </w:p>
    <w:p w14:paraId="1630EDF1" w14:textId="77777777" w:rsidR="00F82A70" w:rsidRDefault="00F82A70" w:rsidP="006F1769">
      <w:pPr>
        <w:spacing w:after="0" w:line="300" w:lineRule="auto"/>
        <w:jc w:val="both"/>
        <w:rPr>
          <w:rFonts w:ascii="Arial" w:hAnsi="Arial" w:cs="Arial"/>
        </w:rPr>
      </w:pPr>
      <w:r w:rsidRPr="00F82A70">
        <w:rPr>
          <w:rFonts w:ascii="Arial" w:hAnsi="Arial" w:cs="Arial"/>
        </w:rPr>
        <w:t xml:space="preserve">2) zgłoszeń, o których mowa w art. 72 ust. 1a ustawy z dnia 3 października 2008 r. o udostępnianiu informacji o środowisku i jego ochronie, udziale społeczeństwa w ochronie środowiska oraz o ocenach oddziaływania na środowisko, lub </w:t>
      </w:r>
    </w:p>
    <w:p w14:paraId="196C5DA2" w14:textId="77777777" w:rsidR="00F82A70" w:rsidRDefault="00F82A70" w:rsidP="006F1769">
      <w:pPr>
        <w:spacing w:after="0" w:line="300" w:lineRule="auto"/>
        <w:jc w:val="both"/>
        <w:rPr>
          <w:rFonts w:ascii="Arial" w:hAnsi="Arial" w:cs="Arial"/>
        </w:rPr>
      </w:pPr>
      <w:r w:rsidRPr="00F82A70">
        <w:rPr>
          <w:rFonts w:ascii="Arial" w:hAnsi="Arial" w:cs="Arial"/>
        </w:rPr>
        <w:t xml:space="preserve">3) podjęcia uchwał, o których mowa w art. 72 ust. 1b ustawy z dnia 3 października 2008 r. o udostępnianiu informacji o środowisku i jego ochronie, udziale społeczeństwa w ochronie środowiska oraz o ocenach oddziaływania na środowisko </w:t>
      </w:r>
    </w:p>
    <w:p w14:paraId="29BCF597" w14:textId="6E24EB86" w:rsidR="00F82A70" w:rsidRDefault="00F82A70" w:rsidP="006F1769">
      <w:pPr>
        <w:spacing w:after="0" w:line="300" w:lineRule="auto"/>
        <w:jc w:val="both"/>
        <w:rPr>
          <w:rFonts w:ascii="Arial" w:hAnsi="Arial" w:cs="Arial"/>
        </w:rPr>
      </w:pPr>
      <w:r w:rsidRPr="00F82A70">
        <w:rPr>
          <w:rFonts w:ascii="Arial" w:hAnsi="Arial" w:cs="Arial"/>
        </w:rPr>
        <w:t>– stosuje się przepisy rozporządzenia zmienianego w § 1, w brzmieniu dotychczasowym.</w:t>
      </w:r>
    </w:p>
    <w:p w14:paraId="4D7C4988" w14:textId="6FA5795E" w:rsidR="00F82A70" w:rsidRDefault="001E0AFC" w:rsidP="006F1769">
      <w:pPr>
        <w:spacing w:after="0" w:line="300" w:lineRule="auto"/>
        <w:jc w:val="both"/>
        <w:rPr>
          <w:rFonts w:ascii="Arial" w:hAnsi="Arial" w:cs="Arial"/>
        </w:rPr>
      </w:pPr>
      <w:r w:rsidRPr="001E0AFC">
        <w:rPr>
          <w:rFonts w:ascii="Arial" w:hAnsi="Arial" w:cs="Arial"/>
        </w:rPr>
        <w:t xml:space="preserve">Do przedsięwzięć, w przypadku których przed dniem wejścia w życie niniejszego rozporządzenia wszczęto i nie zakończono postępowania w sprawie wydania decyzji, o której </w:t>
      </w:r>
      <w:r w:rsidRPr="001E0AFC">
        <w:rPr>
          <w:rFonts w:ascii="Arial" w:hAnsi="Arial" w:cs="Arial"/>
        </w:rPr>
        <w:lastRenderedPageBreak/>
        <w:t xml:space="preserve">mowa w art. 71 ust. 2 pkt 2 ustawy z dnia 3 października 2008 r. o udostępnianiu informacji o środowisku i jego ochronie, udziale społeczeństwa w ochronie środowiska oraz o ocenach oddziaływania na środowisko, stosuje się przepisy rozporządzenia zmienianego w § 1, w brzmieniu nadanym </w:t>
      </w:r>
      <w:r>
        <w:rPr>
          <w:rFonts w:ascii="Arial" w:hAnsi="Arial" w:cs="Arial"/>
        </w:rPr>
        <w:t>omawianym</w:t>
      </w:r>
      <w:r w:rsidRPr="001E0AFC">
        <w:rPr>
          <w:rFonts w:ascii="Arial" w:hAnsi="Arial" w:cs="Arial"/>
        </w:rPr>
        <w:t xml:space="preserve"> rozporządzeniem.</w:t>
      </w:r>
    </w:p>
    <w:p w14:paraId="1170E4B9" w14:textId="77777777" w:rsidR="001E0AFC" w:rsidRDefault="001E0AFC" w:rsidP="006F1769">
      <w:pPr>
        <w:spacing w:after="0" w:line="300" w:lineRule="auto"/>
        <w:jc w:val="both"/>
        <w:rPr>
          <w:rFonts w:ascii="Arial" w:hAnsi="Arial" w:cs="Arial"/>
        </w:rPr>
      </w:pPr>
    </w:p>
    <w:p w14:paraId="21BDC9C1" w14:textId="4D327DBD" w:rsidR="001E0AFC" w:rsidRPr="006F1769" w:rsidRDefault="001E0AFC" w:rsidP="006F1769">
      <w:pPr>
        <w:spacing w:after="0" w:line="300" w:lineRule="auto"/>
        <w:jc w:val="both"/>
        <w:rPr>
          <w:rFonts w:ascii="Arial" w:hAnsi="Arial" w:cs="Arial"/>
        </w:rPr>
      </w:pPr>
      <w:r w:rsidRPr="001E0AFC">
        <w:rPr>
          <w:rFonts w:ascii="Arial" w:hAnsi="Arial" w:cs="Arial"/>
        </w:rPr>
        <w:t>Rozporządzenie wchodzi w życie po upływie 14 dni od dnia ogłoszenia.</w:t>
      </w:r>
    </w:p>
    <w:sectPr w:rsidR="001E0AFC" w:rsidRPr="006F1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4BF4"/>
    <w:multiLevelType w:val="hybridMultilevel"/>
    <w:tmpl w:val="103E7C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C46F8F"/>
    <w:multiLevelType w:val="hybridMultilevel"/>
    <w:tmpl w:val="FC8AD4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CE201D"/>
    <w:multiLevelType w:val="hybridMultilevel"/>
    <w:tmpl w:val="74C2B9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826E5E"/>
    <w:multiLevelType w:val="hybridMultilevel"/>
    <w:tmpl w:val="9C9211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ED59BE"/>
    <w:multiLevelType w:val="hybridMultilevel"/>
    <w:tmpl w:val="217876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8A160E"/>
    <w:multiLevelType w:val="hybridMultilevel"/>
    <w:tmpl w:val="9C90D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B87FAD"/>
    <w:multiLevelType w:val="hybridMultilevel"/>
    <w:tmpl w:val="B9B86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CC26EF"/>
    <w:multiLevelType w:val="hybridMultilevel"/>
    <w:tmpl w:val="BFEC72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4096091"/>
    <w:multiLevelType w:val="hybridMultilevel"/>
    <w:tmpl w:val="A12EDCDE"/>
    <w:lvl w:ilvl="0" w:tplc="A106CD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D6253A"/>
    <w:multiLevelType w:val="hybridMultilevel"/>
    <w:tmpl w:val="CB866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C231133"/>
    <w:multiLevelType w:val="hybridMultilevel"/>
    <w:tmpl w:val="EE387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29027726">
    <w:abstractNumId w:val="2"/>
  </w:num>
  <w:num w:numId="2" w16cid:durableId="311831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1"/>
  </w:num>
  <w:num w:numId="4" w16cid:durableId="5788216">
    <w:abstractNumId w:val="10"/>
  </w:num>
  <w:num w:numId="5" w16cid:durableId="1820147117">
    <w:abstractNumId w:val="9"/>
  </w:num>
  <w:num w:numId="6" w16cid:durableId="151913737">
    <w:abstractNumId w:val="7"/>
  </w:num>
  <w:num w:numId="7" w16cid:durableId="1045103180">
    <w:abstractNumId w:val="8"/>
  </w:num>
  <w:num w:numId="8" w16cid:durableId="392778131">
    <w:abstractNumId w:val="4"/>
  </w:num>
  <w:num w:numId="9" w16cid:durableId="701639090">
    <w:abstractNumId w:val="13"/>
  </w:num>
  <w:num w:numId="10" w16cid:durableId="1319726627">
    <w:abstractNumId w:val="14"/>
  </w:num>
  <w:num w:numId="11" w16cid:durableId="1185826653">
    <w:abstractNumId w:val="15"/>
  </w:num>
  <w:num w:numId="12" w16cid:durableId="1317298570">
    <w:abstractNumId w:val="6"/>
  </w:num>
  <w:num w:numId="13" w16cid:durableId="1254782872">
    <w:abstractNumId w:val="11"/>
  </w:num>
  <w:num w:numId="14" w16cid:durableId="1606230853">
    <w:abstractNumId w:val="5"/>
  </w:num>
  <w:num w:numId="15" w16cid:durableId="381709429">
    <w:abstractNumId w:val="0"/>
  </w:num>
  <w:num w:numId="16" w16cid:durableId="1025718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44"/>
    <w:rsid w:val="000B5F44"/>
    <w:rsid w:val="001010CE"/>
    <w:rsid w:val="001967C3"/>
    <w:rsid w:val="001E0AFC"/>
    <w:rsid w:val="0042074E"/>
    <w:rsid w:val="00450E00"/>
    <w:rsid w:val="004E7FF1"/>
    <w:rsid w:val="00540BCF"/>
    <w:rsid w:val="005607A6"/>
    <w:rsid w:val="00580328"/>
    <w:rsid w:val="00645F5E"/>
    <w:rsid w:val="0068041B"/>
    <w:rsid w:val="0068737A"/>
    <w:rsid w:val="006F1769"/>
    <w:rsid w:val="00892E4F"/>
    <w:rsid w:val="009D1AD3"/>
    <w:rsid w:val="00B638C4"/>
    <w:rsid w:val="00D64ACA"/>
    <w:rsid w:val="00F82A70"/>
    <w:rsid w:val="00F86BEB"/>
    <w:rsid w:val="00FF5C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3556"/>
  <w15:chartTrackingRefBased/>
  <w15:docId w15:val="{1A2992CA-9CEF-4ECB-BABE-6FEC839F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F44"/>
    <w:pPr>
      <w:spacing w:after="200" w:line="276" w:lineRule="auto"/>
    </w:pPr>
    <w:rPr>
      <w:kern w:val="0"/>
      <w14:ligatures w14:val="none"/>
    </w:rPr>
  </w:style>
  <w:style w:type="paragraph" w:styleId="Nagwek1">
    <w:name w:val="heading 1"/>
    <w:basedOn w:val="Normalny"/>
    <w:next w:val="Normalny"/>
    <w:link w:val="Nagwek1Znak"/>
    <w:uiPriority w:val="9"/>
    <w:qFormat/>
    <w:rsid w:val="000B5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B5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B5F4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B5F4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B5F4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B5F4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5F4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5F4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5F4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5F4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B5F4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B5F4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B5F4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B5F4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B5F4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5F4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5F4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5F44"/>
    <w:rPr>
      <w:rFonts w:eastAsiaTheme="majorEastAsia" w:cstheme="majorBidi"/>
      <w:color w:val="272727" w:themeColor="text1" w:themeTint="D8"/>
    </w:rPr>
  </w:style>
  <w:style w:type="paragraph" w:styleId="Tytu">
    <w:name w:val="Title"/>
    <w:basedOn w:val="Normalny"/>
    <w:next w:val="Normalny"/>
    <w:link w:val="TytuZnak"/>
    <w:uiPriority w:val="10"/>
    <w:qFormat/>
    <w:rsid w:val="000B5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5F4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5F4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5F4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5F44"/>
    <w:pPr>
      <w:spacing w:before="160"/>
      <w:jc w:val="center"/>
    </w:pPr>
    <w:rPr>
      <w:i/>
      <w:iCs/>
      <w:color w:val="404040" w:themeColor="text1" w:themeTint="BF"/>
    </w:rPr>
  </w:style>
  <w:style w:type="character" w:customStyle="1" w:styleId="CytatZnak">
    <w:name w:val="Cytat Znak"/>
    <w:basedOn w:val="Domylnaczcionkaakapitu"/>
    <w:link w:val="Cytat"/>
    <w:uiPriority w:val="29"/>
    <w:rsid w:val="000B5F44"/>
    <w:rPr>
      <w:i/>
      <w:iCs/>
      <w:color w:val="404040" w:themeColor="text1" w:themeTint="BF"/>
    </w:rPr>
  </w:style>
  <w:style w:type="paragraph" w:styleId="Akapitzlist">
    <w:name w:val="List Paragraph"/>
    <w:basedOn w:val="Normalny"/>
    <w:uiPriority w:val="34"/>
    <w:qFormat/>
    <w:rsid w:val="000B5F44"/>
    <w:pPr>
      <w:ind w:left="720"/>
      <w:contextualSpacing/>
    </w:pPr>
  </w:style>
  <w:style w:type="character" w:styleId="Wyrnienieintensywne">
    <w:name w:val="Intense Emphasis"/>
    <w:basedOn w:val="Domylnaczcionkaakapitu"/>
    <w:uiPriority w:val="21"/>
    <w:qFormat/>
    <w:rsid w:val="000B5F44"/>
    <w:rPr>
      <w:i/>
      <w:iCs/>
      <w:color w:val="0F4761" w:themeColor="accent1" w:themeShade="BF"/>
    </w:rPr>
  </w:style>
  <w:style w:type="paragraph" w:styleId="Cytatintensywny">
    <w:name w:val="Intense Quote"/>
    <w:basedOn w:val="Normalny"/>
    <w:next w:val="Normalny"/>
    <w:link w:val="CytatintensywnyZnak"/>
    <w:uiPriority w:val="30"/>
    <w:qFormat/>
    <w:rsid w:val="000B5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B5F44"/>
    <w:rPr>
      <w:i/>
      <w:iCs/>
      <w:color w:val="0F4761" w:themeColor="accent1" w:themeShade="BF"/>
    </w:rPr>
  </w:style>
  <w:style w:type="character" w:styleId="Odwoanieintensywne">
    <w:name w:val="Intense Reference"/>
    <w:basedOn w:val="Domylnaczcionkaakapitu"/>
    <w:uiPriority w:val="32"/>
    <w:qFormat/>
    <w:rsid w:val="000B5F44"/>
    <w:rPr>
      <w:b/>
      <w:bCs/>
      <w:smallCaps/>
      <w:color w:val="0F4761" w:themeColor="accent1" w:themeShade="BF"/>
      <w:spacing w:val="5"/>
    </w:rPr>
  </w:style>
  <w:style w:type="character" w:customStyle="1" w:styleId="markedcontent">
    <w:name w:val="markedcontent"/>
    <w:basedOn w:val="Domylnaczcionkaakapitu"/>
    <w:rsid w:val="000B5F44"/>
  </w:style>
  <w:style w:type="character" w:styleId="Hipercze">
    <w:name w:val="Hyperlink"/>
    <w:basedOn w:val="Domylnaczcionkaakapitu"/>
    <w:uiPriority w:val="99"/>
    <w:unhideWhenUsed/>
    <w:rsid w:val="0068737A"/>
    <w:rPr>
      <w:color w:val="467886" w:themeColor="hyperlink"/>
      <w:u w:val="single"/>
    </w:rPr>
  </w:style>
  <w:style w:type="character" w:styleId="Nierozpoznanawzmianka">
    <w:name w:val="Unresolved Mention"/>
    <w:basedOn w:val="Domylnaczcionkaakapitu"/>
    <w:uiPriority w:val="99"/>
    <w:semiHidden/>
    <w:unhideWhenUsed/>
    <w:rsid w:val="0068737A"/>
    <w:rPr>
      <w:color w:val="605E5C"/>
      <w:shd w:val="clear" w:color="auto" w:fill="E1DFDD"/>
    </w:rPr>
  </w:style>
  <w:style w:type="character" w:styleId="UyteHipercze">
    <w:name w:val="FollowedHyperlink"/>
    <w:basedOn w:val="Domylnaczcionkaakapitu"/>
    <w:uiPriority w:val="99"/>
    <w:semiHidden/>
    <w:unhideWhenUsed/>
    <w:rsid w:val="001010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10651/katalog/13205801#132058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lacja.rcl.gov.pl/projekt/12410700/katalog/13205958#13205958" TargetMode="External"/><Relationship Id="rId12" Type="http://schemas.openxmlformats.org/officeDocument/2006/relationships/hyperlink" Target="https://legislacja.rcl.gov.pl/projekt/12410806/katalog/13206594#132065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10653/katalog/13205887#13205887" TargetMode="External"/><Relationship Id="rId11" Type="http://schemas.openxmlformats.org/officeDocument/2006/relationships/hyperlink" Target="https://legislacja.rcl.gov.pl/projekt/12410804/katalog/13206477#13206477" TargetMode="External"/><Relationship Id="rId5" Type="http://schemas.openxmlformats.org/officeDocument/2006/relationships/image" Target="media/image1.png"/><Relationship Id="rId10" Type="http://schemas.openxmlformats.org/officeDocument/2006/relationships/hyperlink" Target="https://legislacja.rcl.gov.pl/projekt/12410803/katalog/13206418#13206418" TargetMode="External"/><Relationship Id="rId4" Type="http://schemas.openxmlformats.org/officeDocument/2006/relationships/webSettings" Target="webSettings.xml"/><Relationship Id="rId9" Type="http://schemas.openxmlformats.org/officeDocument/2006/relationships/hyperlink" Target="https://legislacja.rcl.gov.pl/projekt/12410800/katalog/13206258#13206258"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17</Pages>
  <Words>6912</Words>
  <Characters>41478</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15</cp:revision>
  <dcterms:created xsi:type="dcterms:W3CDTF">2026-06-05T10:10:00Z</dcterms:created>
  <dcterms:modified xsi:type="dcterms:W3CDTF">2026-06-05T11:52:00Z</dcterms:modified>
</cp:coreProperties>
</file>