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903" w14:textId="45A80C95" w:rsidR="009A57CE" w:rsidRPr="009A57CE" w:rsidRDefault="00CA2841" w:rsidP="008B766F">
      <w:pPr>
        <w:spacing w:after="0" w:line="240" w:lineRule="auto"/>
        <w:jc w:val="center"/>
        <w:rPr>
          <w:rFonts w:ascii="Open Sans" w:hAnsi="Open Sans" w:cs="Open Sans"/>
          <w:b/>
          <w:bCs/>
          <w:sz w:val="20"/>
          <w:szCs w:val="20"/>
        </w:rPr>
      </w:pPr>
      <w:bookmarkStart w:id="0" w:name="_Hlk107398740"/>
      <w:r w:rsidRPr="009A57CE">
        <w:rPr>
          <w:rFonts w:ascii="Open Sans" w:hAnsi="Open Sans" w:cs="Open Sans"/>
          <w:b/>
          <w:bCs/>
          <w:sz w:val="20"/>
          <w:szCs w:val="20"/>
        </w:rPr>
        <w:t xml:space="preserve">Uwagi do </w:t>
      </w:r>
      <w:r w:rsidR="009A57CE" w:rsidRPr="009A57CE">
        <w:rPr>
          <w:rFonts w:ascii="Open Sans" w:hAnsi="Open Sans" w:cs="Open Sans"/>
          <w:b/>
          <w:bCs/>
          <w:sz w:val="20"/>
          <w:szCs w:val="20"/>
        </w:rPr>
        <w:t xml:space="preserve">projektu </w:t>
      </w:r>
      <w:r w:rsidR="000A7A1D">
        <w:rPr>
          <w:rFonts w:ascii="Open Sans" w:hAnsi="Open Sans" w:cs="Open Sans"/>
          <w:b/>
          <w:bCs/>
          <w:sz w:val="20"/>
          <w:szCs w:val="20"/>
        </w:rPr>
        <w:t>nr 105</w:t>
      </w:r>
    </w:p>
    <w:p w14:paraId="711D6FEE" w14:textId="77777777" w:rsidR="00CA2841" w:rsidRPr="009A57CE" w:rsidRDefault="00CA2841" w:rsidP="008B766F">
      <w:pPr>
        <w:spacing w:after="0" w:line="240" w:lineRule="auto"/>
        <w:rPr>
          <w:rFonts w:ascii="Open Sans" w:hAnsi="Open Sans" w:cs="Open Sans"/>
          <w:sz w:val="20"/>
          <w:szCs w:val="20"/>
        </w:rPr>
      </w:pPr>
    </w:p>
    <w:tbl>
      <w:tblPr>
        <w:tblStyle w:val="Tabela-Siatka"/>
        <w:tblpPr w:leftFromText="142" w:rightFromText="142" w:vertAnchor="text" w:horzAnchor="margin" w:tblpXSpec="center" w:tblpY="58"/>
        <w:tblW w:w="15740" w:type="dxa"/>
        <w:tblLayout w:type="fixed"/>
        <w:tblLook w:val="04A0" w:firstRow="1" w:lastRow="0" w:firstColumn="1" w:lastColumn="0" w:noHBand="0" w:noVBand="1"/>
      </w:tblPr>
      <w:tblGrid>
        <w:gridCol w:w="562"/>
        <w:gridCol w:w="1560"/>
        <w:gridCol w:w="2409"/>
        <w:gridCol w:w="7655"/>
        <w:gridCol w:w="2126"/>
        <w:gridCol w:w="1428"/>
      </w:tblGrid>
      <w:tr w:rsidR="0090574C" w:rsidRPr="009A57CE" w14:paraId="47E9ED08" w14:textId="77777777" w:rsidTr="0064102D">
        <w:trPr>
          <w:trHeight w:val="551"/>
          <w:tblHeader/>
        </w:trPr>
        <w:tc>
          <w:tcPr>
            <w:tcW w:w="562" w:type="dxa"/>
            <w:vAlign w:val="center"/>
          </w:tcPr>
          <w:p w14:paraId="115BF413" w14:textId="6257DDCF"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Lp.</w:t>
            </w:r>
          </w:p>
        </w:tc>
        <w:tc>
          <w:tcPr>
            <w:tcW w:w="1560" w:type="dxa"/>
            <w:vAlign w:val="center"/>
          </w:tcPr>
          <w:p w14:paraId="0FAF4510" w14:textId="4FD6EB74"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Podmiot wnoszący uwag</w:t>
            </w:r>
            <w:r w:rsidR="00B91BB7" w:rsidRPr="009A57CE">
              <w:rPr>
                <w:rFonts w:ascii="Open Sans" w:hAnsi="Open Sans" w:cs="Open Sans"/>
                <w:b/>
                <w:bCs/>
                <w:sz w:val="20"/>
                <w:szCs w:val="20"/>
              </w:rPr>
              <w:t>ę</w:t>
            </w:r>
          </w:p>
        </w:tc>
        <w:tc>
          <w:tcPr>
            <w:tcW w:w="2409" w:type="dxa"/>
            <w:vAlign w:val="center"/>
          </w:tcPr>
          <w:p w14:paraId="51F92737" w14:textId="202BCB41"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Jednostka redakcyjna, do której wnoszon</w:t>
            </w:r>
            <w:r w:rsidR="00B91BB7" w:rsidRPr="009A57CE">
              <w:rPr>
                <w:rFonts w:ascii="Open Sans" w:hAnsi="Open Sans" w:cs="Open Sans"/>
                <w:b/>
                <w:bCs/>
                <w:sz w:val="20"/>
                <w:szCs w:val="20"/>
              </w:rPr>
              <w:t>a jest</w:t>
            </w:r>
            <w:r w:rsidRPr="009A57CE">
              <w:rPr>
                <w:rFonts w:ascii="Open Sans" w:hAnsi="Open Sans" w:cs="Open Sans"/>
                <w:b/>
                <w:bCs/>
                <w:sz w:val="20"/>
                <w:szCs w:val="20"/>
              </w:rPr>
              <w:t xml:space="preserve"> uwag</w:t>
            </w:r>
            <w:r w:rsidR="00B91BB7" w:rsidRPr="009A57CE">
              <w:rPr>
                <w:rFonts w:ascii="Open Sans" w:hAnsi="Open Sans" w:cs="Open Sans"/>
                <w:b/>
                <w:bCs/>
                <w:sz w:val="20"/>
                <w:szCs w:val="20"/>
              </w:rPr>
              <w:t>a</w:t>
            </w:r>
          </w:p>
        </w:tc>
        <w:tc>
          <w:tcPr>
            <w:tcW w:w="7655" w:type="dxa"/>
            <w:vAlign w:val="center"/>
          </w:tcPr>
          <w:p w14:paraId="74AACE5A" w14:textId="0BDDBBD7"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Treść uwagi</w:t>
            </w:r>
          </w:p>
        </w:tc>
        <w:tc>
          <w:tcPr>
            <w:tcW w:w="2126" w:type="dxa"/>
            <w:vAlign w:val="center"/>
          </w:tcPr>
          <w:p w14:paraId="7C9E6D74" w14:textId="597CDAA9"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 xml:space="preserve">Propozycja </w:t>
            </w:r>
            <w:r w:rsidR="00773DAD" w:rsidRPr="009A57CE">
              <w:rPr>
                <w:rFonts w:ascii="Open Sans" w:hAnsi="Open Sans" w:cs="Open Sans"/>
                <w:b/>
                <w:bCs/>
                <w:sz w:val="20"/>
                <w:szCs w:val="20"/>
              </w:rPr>
              <w:t>brzmienia</w:t>
            </w:r>
            <w:r w:rsidR="00C93278" w:rsidRPr="009A57CE">
              <w:rPr>
                <w:rFonts w:ascii="Open Sans" w:hAnsi="Open Sans" w:cs="Open Sans"/>
                <w:b/>
                <w:bCs/>
                <w:sz w:val="20"/>
                <w:szCs w:val="20"/>
              </w:rPr>
              <w:t xml:space="preserve"> przepisu</w:t>
            </w:r>
          </w:p>
        </w:tc>
        <w:tc>
          <w:tcPr>
            <w:tcW w:w="1428" w:type="dxa"/>
            <w:vAlign w:val="center"/>
          </w:tcPr>
          <w:p w14:paraId="2C049C38" w14:textId="382C7B91"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Stanowisko do uwagi</w:t>
            </w:r>
          </w:p>
        </w:tc>
      </w:tr>
      <w:tr w:rsidR="0090574C" w:rsidRPr="009A57CE" w14:paraId="27D19DF6" w14:textId="77777777" w:rsidTr="0064102D">
        <w:tc>
          <w:tcPr>
            <w:tcW w:w="562" w:type="dxa"/>
          </w:tcPr>
          <w:p w14:paraId="743719D4" w14:textId="77777777"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t>1</w:t>
            </w:r>
          </w:p>
        </w:tc>
        <w:tc>
          <w:tcPr>
            <w:tcW w:w="1560" w:type="dxa"/>
          </w:tcPr>
          <w:p w14:paraId="00E6D6A0" w14:textId="073BF3D4" w:rsidR="0090574C" w:rsidRPr="009A57CE" w:rsidRDefault="00B55F18" w:rsidP="008B766F">
            <w:pPr>
              <w:jc w:val="both"/>
              <w:rPr>
                <w:rFonts w:ascii="Open Sans" w:hAnsi="Open Sans" w:cs="Open Sans"/>
                <w:sz w:val="20"/>
                <w:szCs w:val="20"/>
              </w:rPr>
            </w:pPr>
            <w:r>
              <w:rPr>
                <w:rFonts w:ascii="Open Sans" w:hAnsi="Open Sans" w:cs="Open Sans"/>
                <w:sz w:val="20"/>
                <w:szCs w:val="20"/>
              </w:rPr>
              <w:t>Związek Pracodawców Polska Miedź</w:t>
            </w:r>
          </w:p>
        </w:tc>
        <w:tc>
          <w:tcPr>
            <w:tcW w:w="2409" w:type="dxa"/>
          </w:tcPr>
          <w:p w14:paraId="32C46E4D" w14:textId="35B3DB39" w:rsidR="0090574C" w:rsidRPr="009A57CE" w:rsidRDefault="00320015" w:rsidP="008B766F">
            <w:pPr>
              <w:jc w:val="both"/>
              <w:rPr>
                <w:rFonts w:ascii="Open Sans" w:hAnsi="Open Sans" w:cs="Open Sans"/>
                <w:sz w:val="20"/>
                <w:szCs w:val="20"/>
              </w:rPr>
            </w:pPr>
            <w:r w:rsidRPr="00320015">
              <w:rPr>
                <w:rFonts w:ascii="Open Sans" w:hAnsi="Open Sans" w:cs="Open Sans"/>
                <w:sz w:val="20"/>
                <w:szCs w:val="20"/>
              </w:rPr>
              <w:t>§ 9</w:t>
            </w:r>
          </w:p>
        </w:tc>
        <w:tc>
          <w:tcPr>
            <w:tcW w:w="7655" w:type="dxa"/>
          </w:tcPr>
          <w:p w14:paraId="3EF1FAAE" w14:textId="46AE6FFB"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 xml:space="preserve">Projektowany § 9 przewiduje możliwość ustalania zawarcia związku małżeńskiego oraz zgonu na podstawie zagranicznych dokumentów stanu cywilnego, przy odpowiednim zastosowaniu zwolnienia z obowiązku tłumaczenia na język polski. Rozwiązanie to może budzić istotne wątpliwości z perspektywy pracodawcy będącego płatnikiem </w:t>
            </w:r>
            <w:r w:rsidR="00107EF7">
              <w:rPr>
                <w:rFonts w:ascii="Open Sans" w:hAnsi="Open Sans" w:cs="Open Sans"/>
                <w:sz w:val="20"/>
                <w:szCs w:val="20"/>
              </w:rPr>
              <w:t>świadczeń chorobowych</w:t>
            </w:r>
            <w:r w:rsidRPr="0064102D">
              <w:rPr>
                <w:rFonts w:ascii="Open Sans" w:hAnsi="Open Sans" w:cs="Open Sans"/>
                <w:sz w:val="20"/>
                <w:szCs w:val="20"/>
              </w:rPr>
              <w:t>, ponieważ w praktyce może on zostać zobowiązany do oceny dokumentów sporządzonych w języku obcym, według nieznanego wzoru, z zastosowaniem obcej terminologii urzędowej, bez formalnej transkrypcji aktu stanu cywilnego oraz bez jednoznacznie określonej procedury weryfikacji ich autentyczności i skutków prawnych.</w:t>
            </w:r>
          </w:p>
          <w:p w14:paraId="473A40F5" w14:textId="103CDBE3" w:rsidR="00320015" w:rsidRPr="009A57CE" w:rsidRDefault="0064102D" w:rsidP="0064102D">
            <w:pPr>
              <w:jc w:val="both"/>
              <w:rPr>
                <w:rFonts w:ascii="Open Sans" w:hAnsi="Open Sans" w:cs="Open Sans"/>
                <w:sz w:val="20"/>
                <w:szCs w:val="20"/>
              </w:rPr>
            </w:pPr>
            <w:r w:rsidRPr="0064102D">
              <w:rPr>
                <w:rFonts w:ascii="Open Sans" w:hAnsi="Open Sans" w:cs="Open Sans"/>
                <w:sz w:val="20"/>
                <w:szCs w:val="20"/>
              </w:rPr>
              <w:t xml:space="preserve">Największe ryzyko po stronie pracodawcy dotyczy błędnej kwalifikacji dokumentu i dokonania wypłaty świadczenia, która następnie mogłaby zostać zakwestionowana w toku kontroli Zakładu Ubezpieczeń Społecznych. Pracodawca może nie dysponować wystarczającymi narzędziami do oceny, czy zagraniczny dokument rzeczywiście potwierdza przesłankę ustawową mającą wpływ na prawo do </w:t>
            </w:r>
            <w:r w:rsidR="00107EF7">
              <w:rPr>
                <w:rFonts w:ascii="Open Sans" w:hAnsi="Open Sans" w:cs="Open Sans"/>
                <w:sz w:val="20"/>
                <w:szCs w:val="20"/>
              </w:rPr>
              <w:t>świadczenia</w:t>
            </w:r>
            <w:r w:rsidRPr="0064102D">
              <w:rPr>
                <w:rFonts w:ascii="Open Sans" w:hAnsi="Open Sans" w:cs="Open Sans"/>
                <w:sz w:val="20"/>
                <w:szCs w:val="20"/>
              </w:rPr>
              <w:t xml:space="preserve"> lub jego wysokość, w szczególności w zakresie zawarcia małżeństwa, zgonu albo relacji rodzinnej. Zasadne wydaje się doprecyzowanie przepisu w sposób zapewniający </w:t>
            </w:r>
            <w:r w:rsidR="00107EF7">
              <w:rPr>
                <w:rFonts w:ascii="Open Sans" w:hAnsi="Open Sans" w:cs="Open Sans"/>
                <w:sz w:val="20"/>
                <w:szCs w:val="20"/>
              </w:rPr>
              <w:t>pracodawcy</w:t>
            </w:r>
            <w:r w:rsidRPr="0064102D">
              <w:rPr>
                <w:rFonts w:ascii="Open Sans" w:hAnsi="Open Sans" w:cs="Open Sans"/>
                <w:sz w:val="20"/>
                <w:szCs w:val="20"/>
              </w:rPr>
              <w:t xml:space="preserve"> możliwość żądania tłumaczenia dokumentu lub uzyskania stanowiska Zakładu w przypadku wątpliwości co do jego treści, autentyczności albo skutków prawnych.</w:t>
            </w:r>
          </w:p>
        </w:tc>
        <w:tc>
          <w:tcPr>
            <w:tcW w:w="2126" w:type="dxa"/>
          </w:tcPr>
          <w:p w14:paraId="72530CAA" w14:textId="316CBC51" w:rsidR="0090574C" w:rsidRPr="009A57CE" w:rsidRDefault="0090574C" w:rsidP="008B766F">
            <w:pPr>
              <w:jc w:val="both"/>
              <w:rPr>
                <w:rFonts w:ascii="Open Sans" w:hAnsi="Open Sans" w:cs="Open Sans"/>
                <w:sz w:val="20"/>
                <w:szCs w:val="20"/>
              </w:rPr>
            </w:pPr>
          </w:p>
        </w:tc>
        <w:tc>
          <w:tcPr>
            <w:tcW w:w="1428" w:type="dxa"/>
          </w:tcPr>
          <w:p w14:paraId="330A28F2" w14:textId="77777777" w:rsidR="0090574C" w:rsidRPr="009A57CE" w:rsidRDefault="0090574C" w:rsidP="008B766F">
            <w:pPr>
              <w:jc w:val="both"/>
              <w:rPr>
                <w:rFonts w:ascii="Open Sans" w:hAnsi="Open Sans" w:cs="Open Sans"/>
                <w:sz w:val="20"/>
                <w:szCs w:val="20"/>
              </w:rPr>
            </w:pPr>
          </w:p>
        </w:tc>
      </w:tr>
      <w:tr w:rsidR="0090574C" w:rsidRPr="009A57CE" w14:paraId="4AE66715" w14:textId="77777777" w:rsidTr="0064102D">
        <w:tc>
          <w:tcPr>
            <w:tcW w:w="562" w:type="dxa"/>
          </w:tcPr>
          <w:p w14:paraId="6AFC8947" w14:textId="6420194E"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t>2</w:t>
            </w:r>
          </w:p>
        </w:tc>
        <w:tc>
          <w:tcPr>
            <w:tcW w:w="1560" w:type="dxa"/>
          </w:tcPr>
          <w:p w14:paraId="752B4D6B" w14:textId="0DA73D61" w:rsidR="0090574C" w:rsidRPr="009A57CE" w:rsidRDefault="00B55F18" w:rsidP="008B766F">
            <w:pPr>
              <w:jc w:val="both"/>
              <w:rPr>
                <w:rFonts w:ascii="Open Sans" w:hAnsi="Open Sans" w:cs="Open Sans"/>
                <w:sz w:val="20"/>
                <w:szCs w:val="20"/>
              </w:rPr>
            </w:pPr>
            <w:r>
              <w:rPr>
                <w:rFonts w:ascii="Open Sans" w:hAnsi="Open Sans" w:cs="Open Sans"/>
                <w:sz w:val="20"/>
                <w:szCs w:val="20"/>
              </w:rPr>
              <w:t>Związek Pracodawców Polska Miedź</w:t>
            </w:r>
          </w:p>
        </w:tc>
        <w:tc>
          <w:tcPr>
            <w:tcW w:w="2409" w:type="dxa"/>
          </w:tcPr>
          <w:p w14:paraId="1945FFFA" w14:textId="5906A851" w:rsidR="0090574C" w:rsidRPr="009A57CE" w:rsidRDefault="00297A37" w:rsidP="008B766F">
            <w:pPr>
              <w:jc w:val="both"/>
              <w:rPr>
                <w:rFonts w:ascii="Open Sans" w:hAnsi="Open Sans" w:cs="Open Sans"/>
                <w:sz w:val="20"/>
                <w:szCs w:val="20"/>
              </w:rPr>
            </w:pPr>
            <w:r w:rsidRPr="00297A37">
              <w:rPr>
                <w:rFonts w:ascii="Open Sans" w:hAnsi="Open Sans" w:cs="Open Sans"/>
                <w:sz w:val="20"/>
                <w:szCs w:val="20"/>
              </w:rPr>
              <w:t>§ 25</w:t>
            </w:r>
          </w:p>
        </w:tc>
        <w:tc>
          <w:tcPr>
            <w:tcW w:w="7655" w:type="dxa"/>
          </w:tcPr>
          <w:p w14:paraId="7B5D8A85"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Projektowany § 25 przewiduje, że w przypadku ubiegania się przez ubezpieczonego ojca dziecka o zasiłek macierzyński z tytułu sprawowania osobistej opieki nad dzieckiem, w związku z podjęciem przez matkę dziecka – nieposiadającą tytułu do objęcia ubezpieczeniem chorobowym – zatrudnienia w wymiarze nie niższym niż połowa pełnego wymiaru czasu pracy, dokumentem potwierdzającym tę okoliczność ma być oświadczenie matki dziecka. Projekt rezygnuje tym samym z obowiązku przedłożenia zaświadczenia pracodawcy matki potwierdzającego okres zatrudnienia i wymiar czasu pracy.</w:t>
            </w:r>
          </w:p>
          <w:p w14:paraId="39A92C95"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 xml:space="preserve">Rozwiązanie to może budzić obawy po stronie pracodawcy będącego płatnikiem zasiłku, ponieważ opiera ustalenie prawa do świadczenia na oświadczeniu osoby trzeciej, której pracodawca nie zatrudnia i wobec której nie posiada realnych instrumentów weryfikacyjnych. Pracodawca może nie mieć możliwości potwierdzenia, czy matka dziecka faktycznie podjęła zatrudnienie, od kiedy je </w:t>
            </w:r>
            <w:r w:rsidRPr="0064102D">
              <w:rPr>
                <w:rFonts w:ascii="Open Sans" w:hAnsi="Open Sans" w:cs="Open Sans"/>
                <w:sz w:val="20"/>
                <w:szCs w:val="20"/>
              </w:rPr>
              <w:lastRenderedPageBreak/>
              <w:t>wykonuje, w jakim wymiarze czasu pracy, czy zatrudnienie nadal trwa oraz czy spełniony jest wymóg zatrudnienia w wymiarze co najmniej połowy etatu.</w:t>
            </w:r>
          </w:p>
          <w:p w14:paraId="2D79E846" w14:textId="6F07E32F" w:rsidR="0090574C" w:rsidRPr="009A57CE" w:rsidRDefault="0064102D" w:rsidP="0064102D">
            <w:pPr>
              <w:jc w:val="both"/>
              <w:rPr>
                <w:rFonts w:ascii="Open Sans" w:hAnsi="Open Sans" w:cs="Open Sans"/>
                <w:sz w:val="20"/>
                <w:szCs w:val="20"/>
              </w:rPr>
            </w:pPr>
            <w:r w:rsidRPr="0064102D">
              <w:rPr>
                <w:rFonts w:ascii="Open Sans" w:hAnsi="Open Sans" w:cs="Open Sans"/>
                <w:sz w:val="20"/>
                <w:szCs w:val="20"/>
              </w:rPr>
              <w:t>Wprawdzie projekt przewiduje zobowiązanie ubezpieczonego ojca dziecka do poinformowania płatnika zasiłku o ustaniu zatrudnienia matki, jednak w praktyce ciężar prawidłowej wypłaty świadczenia pozostaje po stronie płatnika, który działa na podstawie oświadczeń trudnych do samodzielnej weryfikacji. Zasadne jest rozważenie pozostawienia możliwości żądania zaświadczenia pracodawcy matki.</w:t>
            </w:r>
          </w:p>
        </w:tc>
        <w:tc>
          <w:tcPr>
            <w:tcW w:w="2126" w:type="dxa"/>
          </w:tcPr>
          <w:p w14:paraId="38D07FBA" w14:textId="77777777" w:rsidR="0090574C" w:rsidRPr="009A57CE" w:rsidRDefault="0090574C" w:rsidP="008B766F">
            <w:pPr>
              <w:jc w:val="both"/>
              <w:rPr>
                <w:rFonts w:ascii="Open Sans" w:hAnsi="Open Sans" w:cs="Open Sans"/>
                <w:sz w:val="20"/>
                <w:szCs w:val="20"/>
              </w:rPr>
            </w:pPr>
          </w:p>
        </w:tc>
        <w:tc>
          <w:tcPr>
            <w:tcW w:w="1428" w:type="dxa"/>
          </w:tcPr>
          <w:p w14:paraId="31C0C230" w14:textId="77777777" w:rsidR="0090574C" w:rsidRPr="009A57CE" w:rsidRDefault="0090574C" w:rsidP="008B766F">
            <w:pPr>
              <w:jc w:val="both"/>
              <w:rPr>
                <w:rFonts w:ascii="Open Sans" w:hAnsi="Open Sans" w:cs="Open Sans"/>
                <w:sz w:val="20"/>
                <w:szCs w:val="20"/>
              </w:rPr>
            </w:pPr>
          </w:p>
        </w:tc>
      </w:tr>
      <w:tr w:rsidR="0090574C" w:rsidRPr="009A57CE" w14:paraId="574FF95B" w14:textId="77777777" w:rsidTr="0064102D">
        <w:tc>
          <w:tcPr>
            <w:tcW w:w="562" w:type="dxa"/>
          </w:tcPr>
          <w:p w14:paraId="590D690B" w14:textId="321DEEE7"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t>3</w:t>
            </w:r>
          </w:p>
        </w:tc>
        <w:tc>
          <w:tcPr>
            <w:tcW w:w="1560" w:type="dxa"/>
          </w:tcPr>
          <w:p w14:paraId="7283C367" w14:textId="63EA63C4" w:rsidR="0090574C" w:rsidRPr="009A57CE" w:rsidRDefault="00B55F18" w:rsidP="008B766F">
            <w:pPr>
              <w:jc w:val="both"/>
              <w:rPr>
                <w:rFonts w:ascii="Open Sans" w:hAnsi="Open Sans" w:cs="Open Sans"/>
                <w:sz w:val="20"/>
                <w:szCs w:val="20"/>
              </w:rPr>
            </w:pPr>
            <w:r>
              <w:rPr>
                <w:rFonts w:ascii="Open Sans" w:hAnsi="Open Sans" w:cs="Open Sans"/>
                <w:sz w:val="20"/>
                <w:szCs w:val="20"/>
              </w:rPr>
              <w:t>Związek Pracodawców Polska Miedź</w:t>
            </w:r>
          </w:p>
        </w:tc>
        <w:tc>
          <w:tcPr>
            <w:tcW w:w="2409" w:type="dxa"/>
          </w:tcPr>
          <w:p w14:paraId="43EC42A6" w14:textId="1D9C2D1A" w:rsidR="0090574C" w:rsidRPr="009A57CE" w:rsidRDefault="00FE2EA5" w:rsidP="008B766F">
            <w:pPr>
              <w:jc w:val="both"/>
              <w:rPr>
                <w:rFonts w:ascii="Open Sans" w:hAnsi="Open Sans" w:cs="Open Sans"/>
                <w:sz w:val="20"/>
                <w:szCs w:val="20"/>
              </w:rPr>
            </w:pPr>
            <w:r w:rsidRPr="00FE2EA5">
              <w:rPr>
                <w:rFonts w:ascii="Open Sans" w:hAnsi="Open Sans" w:cs="Open Sans"/>
                <w:sz w:val="20"/>
                <w:szCs w:val="20"/>
              </w:rPr>
              <w:t>§ 36 ust. 1 pkt 4</w:t>
            </w:r>
          </w:p>
        </w:tc>
        <w:tc>
          <w:tcPr>
            <w:tcW w:w="7655" w:type="dxa"/>
          </w:tcPr>
          <w:p w14:paraId="56F99DEB"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Projektowany § 36 ust. 1 pkt 4 przewiduje, że w przypadku zasiłku opiekuńczego z powodu choroby niani lub dziennego opiekuna wystarczające będzie przedłożenie oświadczenia ubezpieczonego o chorobie niani lub dziennego opiekuna albo odpowiedniego dokumentu lekarskiego potwierdzającego ich niezdolność do pracy. Oznacza to, że wypłata zasiłku opiekuńczego będzie mogła nastąpić na podstawie samego oświadczenia pracownika, bez konieczności przedłożenia dokumentu medycznego potwierdzającego niezdolność do pracy osoby sprawującej opiekę nad dzieckiem.</w:t>
            </w:r>
          </w:p>
          <w:p w14:paraId="579C9142"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Z perspektywy pracodawcy będącego płatnikiem zasiłku rozwiązanie to oznacza obniżenie standardu dowodowego i może zwiększać ryzyko wypłaty świadczenia w sytuacji, w której przesłanki ustawowe nie zostały w pełni zweryfikowane. Pracodawca będzie miał ograniczoną możliwość ustalenia, czy niania lub dzienny opiekun faktycznie byli chorzy lub niezdolni do pracy, czy niezdolność przypadała dokładnie w okresie objętym wnioskiem oraz czy dana osoba rzeczywiście sprawowała opiekę nad dzieckiem.</w:t>
            </w:r>
          </w:p>
          <w:p w14:paraId="59C5BA70" w14:textId="62E7C08D" w:rsidR="00774808" w:rsidRPr="009A57CE" w:rsidRDefault="0064102D" w:rsidP="0064102D">
            <w:pPr>
              <w:jc w:val="both"/>
              <w:rPr>
                <w:rFonts w:ascii="Open Sans" w:hAnsi="Open Sans" w:cs="Open Sans"/>
                <w:sz w:val="20"/>
                <w:szCs w:val="20"/>
              </w:rPr>
            </w:pPr>
            <w:r w:rsidRPr="0064102D">
              <w:rPr>
                <w:rFonts w:ascii="Open Sans" w:hAnsi="Open Sans" w:cs="Open Sans"/>
                <w:sz w:val="20"/>
                <w:szCs w:val="20"/>
              </w:rPr>
              <w:t>W celu ograniczenia ryzyka po stronie płatnika zasadne jest doprecyzowanie, że oświadczenie ubezpieczonego powinno zawierać co najmniej dane identyfikujące nianię albo dziennego opiekuna, okres choroby albo niezdolności do pracy oraz informację o podstawie sprawowania opieki nad dzieckiem. Alternatywnie należałoby pozostawić wymóg przedłożenia dokumentu lekarskiego w przypadkach, w których płatnikiem zasiłku jest pracodawca.</w:t>
            </w:r>
          </w:p>
        </w:tc>
        <w:tc>
          <w:tcPr>
            <w:tcW w:w="2126" w:type="dxa"/>
          </w:tcPr>
          <w:p w14:paraId="118E3641" w14:textId="77777777" w:rsidR="0090574C" w:rsidRPr="009A57CE" w:rsidRDefault="0090574C" w:rsidP="008B766F">
            <w:pPr>
              <w:jc w:val="both"/>
              <w:rPr>
                <w:rFonts w:ascii="Open Sans" w:hAnsi="Open Sans" w:cs="Open Sans"/>
                <w:sz w:val="20"/>
                <w:szCs w:val="20"/>
              </w:rPr>
            </w:pPr>
          </w:p>
        </w:tc>
        <w:tc>
          <w:tcPr>
            <w:tcW w:w="1428" w:type="dxa"/>
          </w:tcPr>
          <w:p w14:paraId="17C40DBE" w14:textId="77777777" w:rsidR="0090574C" w:rsidRPr="009A57CE" w:rsidRDefault="0090574C" w:rsidP="008B766F">
            <w:pPr>
              <w:jc w:val="both"/>
              <w:rPr>
                <w:rFonts w:ascii="Open Sans" w:hAnsi="Open Sans" w:cs="Open Sans"/>
                <w:sz w:val="20"/>
                <w:szCs w:val="20"/>
              </w:rPr>
            </w:pPr>
          </w:p>
        </w:tc>
      </w:tr>
      <w:tr w:rsidR="00B91BB7" w:rsidRPr="009A57CE" w14:paraId="597EDC07" w14:textId="77777777" w:rsidTr="0064102D">
        <w:tc>
          <w:tcPr>
            <w:tcW w:w="562" w:type="dxa"/>
          </w:tcPr>
          <w:p w14:paraId="513652BE" w14:textId="5481CAA8" w:rsidR="00B91BB7" w:rsidRPr="009A57CE" w:rsidRDefault="00B91BB7" w:rsidP="008B766F">
            <w:pPr>
              <w:jc w:val="center"/>
              <w:rPr>
                <w:rFonts w:ascii="Open Sans" w:hAnsi="Open Sans" w:cs="Open Sans"/>
                <w:sz w:val="20"/>
                <w:szCs w:val="20"/>
              </w:rPr>
            </w:pPr>
            <w:r w:rsidRPr="009A57CE">
              <w:rPr>
                <w:rFonts w:ascii="Open Sans" w:hAnsi="Open Sans" w:cs="Open Sans"/>
                <w:sz w:val="20"/>
                <w:szCs w:val="20"/>
              </w:rPr>
              <w:t>4</w:t>
            </w:r>
          </w:p>
        </w:tc>
        <w:tc>
          <w:tcPr>
            <w:tcW w:w="1560" w:type="dxa"/>
          </w:tcPr>
          <w:p w14:paraId="2C112C99" w14:textId="32023284" w:rsidR="00B91BB7" w:rsidRPr="009A57CE" w:rsidRDefault="00B55F18" w:rsidP="008B766F">
            <w:pPr>
              <w:jc w:val="both"/>
              <w:rPr>
                <w:rFonts w:ascii="Open Sans" w:hAnsi="Open Sans" w:cs="Open Sans"/>
                <w:sz w:val="20"/>
                <w:szCs w:val="20"/>
              </w:rPr>
            </w:pPr>
            <w:r>
              <w:rPr>
                <w:rFonts w:ascii="Open Sans" w:hAnsi="Open Sans" w:cs="Open Sans"/>
                <w:sz w:val="20"/>
                <w:szCs w:val="20"/>
              </w:rPr>
              <w:t>Związek Pracodawców Polska Miedź</w:t>
            </w:r>
          </w:p>
        </w:tc>
        <w:tc>
          <w:tcPr>
            <w:tcW w:w="2409" w:type="dxa"/>
          </w:tcPr>
          <w:p w14:paraId="29E8C0CD" w14:textId="7B4643E4" w:rsidR="00B91BB7" w:rsidRPr="009A57CE" w:rsidRDefault="00A301AD" w:rsidP="008B766F">
            <w:pPr>
              <w:jc w:val="both"/>
              <w:rPr>
                <w:rFonts w:ascii="Open Sans" w:hAnsi="Open Sans" w:cs="Open Sans"/>
                <w:sz w:val="20"/>
                <w:szCs w:val="20"/>
              </w:rPr>
            </w:pPr>
            <w:r w:rsidRPr="00A301AD">
              <w:rPr>
                <w:rFonts w:ascii="Open Sans" w:hAnsi="Open Sans" w:cs="Open Sans"/>
                <w:sz w:val="20"/>
                <w:szCs w:val="20"/>
              </w:rPr>
              <w:t>§ 41</w:t>
            </w:r>
          </w:p>
        </w:tc>
        <w:tc>
          <w:tcPr>
            <w:tcW w:w="7655" w:type="dxa"/>
          </w:tcPr>
          <w:p w14:paraId="125C1A86"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 xml:space="preserve">Projektowany § 41 przewiduje, że za dokumenty niezbędne do przyznania i wypłaty świadczeń uznaje się również dokumenty przekazane na elektroniczną skrzynkę podawczą Zakładu Ubezpieczeń Społecznych albo na adres do doręczeń elektronicznych przez zagraniczną instytucję ubezpieczeniową. Przepis ten nie rozstrzyga jednak wprost, jak powinien postąpić pracodawca będący płatnikiem zasiłku w sytuacji, gdy dokument dotyczący jego pracownika zostanie przekazany </w:t>
            </w:r>
            <w:r w:rsidRPr="0064102D">
              <w:rPr>
                <w:rFonts w:ascii="Open Sans" w:hAnsi="Open Sans" w:cs="Open Sans"/>
                <w:sz w:val="20"/>
                <w:szCs w:val="20"/>
              </w:rPr>
              <w:lastRenderedPageBreak/>
              <w:t>bezpośrednio do Zakładu, podczas gdy obowiązek ustalenia prawa do świadczenia i jego wypłaty spoczywa na pracodawcy.</w:t>
            </w:r>
          </w:p>
          <w:p w14:paraId="26BD1935" w14:textId="77777777" w:rsidR="0064102D" w:rsidRPr="0064102D" w:rsidRDefault="0064102D" w:rsidP="0064102D">
            <w:pPr>
              <w:jc w:val="both"/>
              <w:rPr>
                <w:rFonts w:ascii="Open Sans" w:hAnsi="Open Sans" w:cs="Open Sans"/>
                <w:sz w:val="20"/>
                <w:szCs w:val="20"/>
              </w:rPr>
            </w:pPr>
            <w:r w:rsidRPr="0064102D">
              <w:rPr>
                <w:rFonts w:ascii="Open Sans" w:hAnsi="Open Sans" w:cs="Open Sans"/>
                <w:sz w:val="20"/>
                <w:szCs w:val="20"/>
              </w:rPr>
              <w:t>Może to prowadzić do luki proceduralnej. Pracodawca jako płatnik świadczenia może nie wiedzieć, czy dokument wpłynął do Zakładu, czy został uznany za wystarczający, czy i w jakim terminie informacja zostanie przekazana pracodawcy oraz czy pracodawca może dokonać wypłaty świadczenia, czy powinien oczekiwać na potwierdzenie z Zakładu. Brak jasnej procedury może powodować opóźnienia w wypłacie świadczeń, ryzyko niejednolitej praktyki oraz zwiększenie odpowiedzialności płatnika za decyzje podejmowane bez dostępu do pełnej dokumentacji.</w:t>
            </w:r>
          </w:p>
          <w:p w14:paraId="61393C6E" w14:textId="3451CE88" w:rsidR="00B91BB7" w:rsidRPr="009A57CE" w:rsidRDefault="0064102D" w:rsidP="0064102D">
            <w:pPr>
              <w:jc w:val="both"/>
              <w:rPr>
                <w:rFonts w:ascii="Open Sans" w:hAnsi="Open Sans" w:cs="Open Sans"/>
                <w:sz w:val="20"/>
                <w:szCs w:val="20"/>
              </w:rPr>
            </w:pPr>
            <w:r w:rsidRPr="0064102D">
              <w:rPr>
                <w:rFonts w:ascii="Open Sans" w:hAnsi="Open Sans" w:cs="Open Sans"/>
                <w:sz w:val="20"/>
                <w:szCs w:val="20"/>
              </w:rPr>
              <w:t>Zasadne jest uzupełnienie przepisu o mechanizm informowania pracodawcy będącego płatnikiem zasiłku o wpływie i treści dokumentów przekazanych do Zakładu przez zagraniczną instytucję ubezpieczeniową, jeżeli dokumenty te dotyczą pracownika, któremu świadczenie powinien wypłacić pracodawca. Wskazane byłoby również określenie, czy do czasu przekazania takiej informacji płatnik może wstrzymać wypłatę świadczenia bez negatywnych konsekwencji.</w:t>
            </w:r>
          </w:p>
        </w:tc>
        <w:tc>
          <w:tcPr>
            <w:tcW w:w="2126" w:type="dxa"/>
          </w:tcPr>
          <w:p w14:paraId="6BD03E7F" w14:textId="77777777" w:rsidR="00B91BB7" w:rsidRPr="009A57CE" w:rsidRDefault="00B91BB7" w:rsidP="008B766F">
            <w:pPr>
              <w:jc w:val="both"/>
              <w:rPr>
                <w:rFonts w:ascii="Open Sans" w:hAnsi="Open Sans" w:cs="Open Sans"/>
                <w:sz w:val="20"/>
                <w:szCs w:val="20"/>
              </w:rPr>
            </w:pPr>
          </w:p>
        </w:tc>
        <w:tc>
          <w:tcPr>
            <w:tcW w:w="1428" w:type="dxa"/>
          </w:tcPr>
          <w:p w14:paraId="2EFA759D" w14:textId="77777777" w:rsidR="00B91BB7" w:rsidRPr="009A57CE" w:rsidRDefault="00B91BB7" w:rsidP="008B766F">
            <w:pPr>
              <w:jc w:val="both"/>
              <w:rPr>
                <w:rFonts w:ascii="Open Sans" w:hAnsi="Open Sans" w:cs="Open Sans"/>
                <w:sz w:val="20"/>
                <w:szCs w:val="20"/>
              </w:rPr>
            </w:pPr>
          </w:p>
        </w:tc>
      </w:tr>
      <w:bookmarkEnd w:id="0"/>
    </w:tbl>
    <w:p w14:paraId="4A485AB3" w14:textId="77777777" w:rsidR="00CA2841" w:rsidRPr="009A57CE" w:rsidRDefault="00CA2841" w:rsidP="008B766F">
      <w:pPr>
        <w:spacing w:after="0" w:line="240" w:lineRule="auto"/>
        <w:rPr>
          <w:rFonts w:ascii="Open Sans" w:hAnsi="Open Sans" w:cs="Open Sans"/>
          <w:sz w:val="20"/>
          <w:szCs w:val="20"/>
        </w:rPr>
      </w:pPr>
    </w:p>
    <w:sectPr w:rsidR="00CA2841" w:rsidRPr="009A57CE" w:rsidSect="00B91BB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76B9" w14:textId="77777777" w:rsidR="001123B1" w:rsidRDefault="001123B1" w:rsidP="00CA2841">
      <w:pPr>
        <w:spacing w:after="0" w:line="240" w:lineRule="auto"/>
      </w:pPr>
      <w:r>
        <w:separator/>
      </w:r>
    </w:p>
  </w:endnote>
  <w:endnote w:type="continuationSeparator" w:id="0">
    <w:p w14:paraId="72B3A0A0" w14:textId="77777777" w:rsidR="001123B1" w:rsidRDefault="001123B1" w:rsidP="00CA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AD00" w14:textId="77777777" w:rsidR="001123B1" w:rsidRDefault="001123B1" w:rsidP="00CA2841">
      <w:pPr>
        <w:spacing w:after="0" w:line="240" w:lineRule="auto"/>
      </w:pPr>
      <w:r>
        <w:separator/>
      </w:r>
    </w:p>
  </w:footnote>
  <w:footnote w:type="continuationSeparator" w:id="0">
    <w:p w14:paraId="0B3FF207" w14:textId="77777777" w:rsidR="001123B1" w:rsidRDefault="001123B1" w:rsidP="00CA2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E51"/>
    <w:multiLevelType w:val="multilevel"/>
    <w:tmpl w:val="88F8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66201"/>
    <w:multiLevelType w:val="multilevel"/>
    <w:tmpl w:val="F9A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4103"/>
    <w:multiLevelType w:val="multilevel"/>
    <w:tmpl w:val="80A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D07F8"/>
    <w:multiLevelType w:val="multilevel"/>
    <w:tmpl w:val="AD1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22F"/>
    <w:multiLevelType w:val="multilevel"/>
    <w:tmpl w:val="54F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540D8"/>
    <w:multiLevelType w:val="multilevel"/>
    <w:tmpl w:val="B35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74808">
    <w:abstractNumId w:val="4"/>
  </w:num>
  <w:num w:numId="2" w16cid:durableId="633409770">
    <w:abstractNumId w:val="0"/>
  </w:num>
  <w:num w:numId="3" w16cid:durableId="2088452020">
    <w:abstractNumId w:val="1"/>
  </w:num>
  <w:num w:numId="4" w16cid:durableId="648099880">
    <w:abstractNumId w:val="3"/>
  </w:num>
  <w:num w:numId="5" w16cid:durableId="1929196381">
    <w:abstractNumId w:val="2"/>
  </w:num>
  <w:num w:numId="6" w16cid:durableId="636568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41"/>
    <w:rsid w:val="00053B59"/>
    <w:rsid w:val="00054942"/>
    <w:rsid w:val="000A7A1D"/>
    <w:rsid w:val="00107EF7"/>
    <w:rsid w:val="001123B1"/>
    <w:rsid w:val="00131893"/>
    <w:rsid w:val="0019568F"/>
    <w:rsid w:val="001B734F"/>
    <w:rsid w:val="001E4824"/>
    <w:rsid w:val="001F2ED9"/>
    <w:rsid w:val="00267339"/>
    <w:rsid w:val="00297A37"/>
    <w:rsid w:val="002B5F94"/>
    <w:rsid w:val="00320015"/>
    <w:rsid w:val="003305D9"/>
    <w:rsid w:val="00377FE7"/>
    <w:rsid w:val="003A5F6C"/>
    <w:rsid w:val="0041567D"/>
    <w:rsid w:val="004331DC"/>
    <w:rsid w:val="00435D45"/>
    <w:rsid w:val="004C0B70"/>
    <w:rsid w:val="004D7F1B"/>
    <w:rsid w:val="004F2D1D"/>
    <w:rsid w:val="005C6AE4"/>
    <w:rsid w:val="00606BD0"/>
    <w:rsid w:val="0064102D"/>
    <w:rsid w:val="0065784C"/>
    <w:rsid w:val="00666241"/>
    <w:rsid w:val="006974ED"/>
    <w:rsid w:val="00773DAD"/>
    <w:rsid w:val="00774808"/>
    <w:rsid w:val="0078010E"/>
    <w:rsid w:val="00794449"/>
    <w:rsid w:val="007C1A31"/>
    <w:rsid w:val="008255DE"/>
    <w:rsid w:val="00884C88"/>
    <w:rsid w:val="00894E5C"/>
    <w:rsid w:val="008B1756"/>
    <w:rsid w:val="008B766F"/>
    <w:rsid w:val="0090574C"/>
    <w:rsid w:val="00963950"/>
    <w:rsid w:val="009A57CE"/>
    <w:rsid w:val="009B5AD6"/>
    <w:rsid w:val="009D3667"/>
    <w:rsid w:val="009E504D"/>
    <w:rsid w:val="009E6D70"/>
    <w:rsid w:val="00A301AD"/>
    <w:rsid w:val="00B312E5"/>
    <w:rsid w:val="00B412DF"/>
    <w:rsid w:val="00B55F18"/>
    <w:rsid w:val="00B829F8"/>
    <w:rsid w:val="00B91BB7"/>
    <w:rsid w:val="00C93278"/>
    <w:rsid w:val="00CA2841"/>
    <w:rsid w:val="00CD3075"/>
    <w:rsid w:val="00D35962"/>
    <w:rsid w:val="00DA4D99"/>
    <w:rsid w:val="00E40E3D"/>
    <w:rsid w:val="00E830AA"/>
    <w:rsid w:val="00EB31B4"/>
    <w:rsid w:val="00EC4C43"/>
    <w:rsid w:val="00ED106C"/>
    <w:rsid w:val="00EF494C"/>
    <w:rsid w:val="00EF5376"/>
    <w:rsid w:val="00F04A98"/>
    <w:rsid w:val="00F42E9D"/>
    <w:rsid w:val="00FD6863"/>
    <w:rsid w:val="00FE2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F60"/>
  <w15:chartTrackingRefBased/>
  <w15:docId w15:val="{6BE2EF6E-7A57-45BA-8729-04A92DB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28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2841"/>
    <w:rPr>
      <w:sz w:val="20"/>
      <w:szCs w:val="20"/>
    </w:rPr>
  </w:style>
  <w:style w:type="character" w:styleId="Odwoanieprzypisudolnego">
    <w:name w:val="footnote reference"/>
    <w:basedOn w:val="Domylnaczcionkaakapitu"/>
    <w:uiPriority w:val="99"/>
    <w:semiHidden/>
    <w:unhideWhenUsed/>
    <w:rsid w:val="00CA2841"/>
    <w:rPr>
      <w:vertAlign w:val="superscript"/>
    </w:rPr>
  </w:style>
  <w:style w:type="table" w:styleId="Tabela-Siatka">
    <w:name w:val="Table Grid"/>
    <w:basedOn w:val="Standardowy"/>
    <w:uiPriority w:val="39"/>
    <w:rsid w:val="00CA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F2D1D"/>
    <w:rPr>
      <w:sz w:val="16"/>
      <w:szCs w:val="16"/>
    </w:rPr>
  </w:style>
  <w:style w:type="paragraph" w:styleId="Tekstkomentarza">
    <w:name w:val="annotation text"/>
    <w:basedOn w:val="Normalny"/>
    <w:link w:val="TekstkomentarzaZnak"/>
    <w:uiPriority w:val="99"/>
    <w:unhideWhenUsed/>
    <w:rsid w:val="004F2D1D"/>
    <w:pPr>
      <w:spacing w:line="240" w:lineRule="auto"/>
    </w:pPr>
    <w:rPr>
      <w:sz w:val="20"/>
      <w:szCs w:val="20"/>
    </w:rPr>
  </w:style>
  <w:style w:type="character" w:customStyle="1" w:styleId="TekstkomentarzaZnak">
    <w:name w:val="Tekst komentarza Znak"/>
    <w:basedOn w:val="Domylnaczcionkaakapitu"/>
    <w:link w:val="Tekstkomentarza"/>
    <w:uiPriority w:val="99"/>
    <w:rsid w:val="004F2D1D"/>
    <w:rPr>
      <w:sz w:val="20"/>
      <w:szCs w:val="20"/>
    </w:rPr>
  </w:style>
  <w:style w:type="paragraph" w:styleId="Tematkomentarza">
    <w:name w:val="annotation subject"/>
    <w:basedOn w:val="Tekstkomentarza"/>
    <w:next w:val="Tekstkomentarza"/>
    <w:link w:val="TematkomentarzaZnak"/>
    <w:uiPriority w:val="99"/>
    <w:semiHidden/>
    <w:unhideWhenUsed/>
    <w:rsid w:val="004F2D1D"/>
    <w:rPr>
      <w:b/>
      <w:bCs/>
    </w:rPr>
  </w:style>
  <w:style w:type="character" w:customStyle="1" w:styleId="TematkomentarzaZnak">
    <w:name w:val="Temat komentarza Znak"/>
    <w:basedOn w:val="TekstkomentarzaZnak"/>
    <w:link w:val="Tematkomentarza"/>
    <w:uiPriority w:val="99"/>
    <w:semiHidden/>
    <w:rsid w:val="004F2D1D"/>
    <w:rPr>
      <w:b/>
      <w:bCs/>
      <w:sz w:val="20"/>
      <w:szCs w:val="20"/>
    </w:rPr>
  </w:style>
  <w:style w:type="paragraph" w:styleId="NormalnyWeb">
    <w:name w:val="Normal (Web)"/>
    <w:basedOn w:val="Normalny"/>
    <w:uiPriority w:val="99"/>
    <w:semiHidden/>
    <w:unhideWhenUsed/>
    <w:rsid w:val="003200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0945">
      <w:bodyDiv w:val="1"/>
      <w:marLeft w:val="0"/>
      <w:marRight w:val="0"/>
      <w:marTop w:val="0"/>
      <w:marBottom w:val="0"/>
      <w:divBdr>
        <w:top w:val="none" w:sz="0" w:space="0" w:color="auto"/>
        <w:left w:val="none" w:sz="0" w:space="0" w:color="auto"/>
        <w:bottom w:val="none" w:sz="0" w:space="0" w:color="auto"/>
        <w:right w:val="none" w:sz="0" w:space="0" w:color="auto"/>
      </w:divBdr>
      <w:divsChild>
        <w:div w:id="580869997">
          <w:marLeft w:val="0"/>
          <w:marRight w:val="0"/>
          <w:marTop w:val="0"/>
          <w:marBottom w:val="0"/>
          <w:divBdr>
            <w:top w:val="none" w:sz="0" w:space="0" w:color="auto"/>
            <w:left w:val="none" w:sz="0" w:space="0" w:color="auto"/>
            <w:bottom w:val="none" w:sz="0" w:space="0" w:color="auto"/>
            <w:right w:val="none" w:sz="0" w:space="0" w:color="auto"/>
          </w:divBdr>
        </w:div>
      </w:divsChild>
    </w:div>
    <w:div w:id="671614720">
      <w:bodyDiv w:val="1"/>
      <w:marLeft w:val="0"/>
      <w:marRight w:val="0"/>
      <w:marTop w:val="0"/>
      <w:marBottom w:val="0"/>
      <w:divBdr>
        <w:top w:val="none" w:sz="0" w:space="0" w:color="auto"/>
        <w:left w:val="none" w:sz="0" w:space="0" w:color="auto"/>
        <w:bottom w:val="none" w:sz="0" w:space="0" w:color="auto"/>
        <w:right w:val="none" w:sz="0" w:space="0" w:color="auto"/>
      </w:divBdr>
      <w:divsChild>
        <w:div w:id="1019887802">
          <w:marLeft w:val="0"/>
          <w:marRight w:val="0"/>
          <w:marTop w:val="0"/>
          <w:marBottom w:val="0"/>
          <w:divBdr>
            <w:top w:val="none" w:sz="0" w:space="0" w:color="auto"/>
            <w:left w:val="none" w:sz="0" w:space="0" w:color="auto"/>
            <w:bottom w:val="none" w:sz="0" w:space="0" w:color="auto"/>
            <w:right w:val="none" w:sz="0" w:space="0" w:color="auto"/>
          </w:divBdr>
        </w:div>
      </w:divsChild>
    </w:div>
    <w:div w:id="716854255">
      <w:bodyDiv w:val="1"/>
      <w:marLeft w:val="0"/>
      <w:marRight w:val="0"/>
      <w:marTop w:val="0"/>
      <w:marBottom w:val="0"/>
      <w:divBdr>
        <w:top w:val="none" w:sz="0" w:space="0" w:color="auto"/>
        <w:left w:val="none" w:sz="0" w:space="0" w:color="auto"/>
        <w:bottom w:val="none" w:sz="0" w:space="0" w:color="auto"/>
        <w:right w:val="none" w:sz="0" w:space="0" w:color="auto"/>
      </w:divBdr>
      <w:divsChild>
        <w:div w:id="117143571">
          <w:marLeft w:val="0"/>
          <w:marRight w:val="0"/>
          <w:marTop w:val="0"/>
          <w:marBottom w:val="0"/>
          <w:divBdr>
            <w:top w:val="none" w:sz="0" w:space="0" w:color="auto"/>
            <w:left w:val="none" w:sz="0" w:space="0" w:color="auto"/>
            <w:bottom w:val="none" w:sz="0" w:space="0" w:color="auto"/>
            <w:right w:val="none" w:sz="0" w:space="0" w:color="auto"/>
          </w:divBdr>
        </w:div>
      </w:divsChild>
    </w:div>
    <w:div w:id="740442680">
      <w:bodyDiv w:val="1"/>
      <w:marLeft w:val="0"/>
      <w:marRight w:val="0"/>
      <w:marTop w:val="0"/>
      <w:marBottom w:val="0"/>
      <w:divBdr>
        <w:top w:val="none" w:sz="0" w:space="0" w:color="auto"/>
        <w:left w:val="none" w:sz="0" w:space="0" w:color="auto"/>
        <w:bottom w:val="none" w:sz="0" w:space="0" w:color="auto"/>
        <w:right w:val="none" w:sz="0" w:space="0" w:color="auto"/>
      </w:divBdr>
      <w:divsChild>
        <w:div w:id="800196680">
          <w:marLeft w:val="0"/>
          <w:marRight w:val="0"/>
          <w:marTop w:val="0"/>
          <w:marBottom w:val="0"/>
          <w:divBdr>
            <w:top w:val="none" w:sz="0" w:space="0" w:color="auto"/>
            <w:left w:val="none" w:sz="0" w:space="0" w:color="auto"/>
            <w:bottom w:val="none" w:sz="0" w:space="0" w:color="auto"/>
            <w:right w:val="none" w:sz="0" w:space="0" w:color="auto"/>
          </w:divBdr>
        </w:div>
      </w:divsChild>
    </w:div>
    <w:div w:id="887648894">
      <w:bodyDiv w:val="1"/>
      <w:marLeft w:val="0"/>
      <w:marRight w:val="0"/>
      <w:marTop w:val="0"/>
      <w:marBottom w:val="0"/>
      <w:divBdr>
        <w:top w:val="none" w:sz="0" w:space="0" w:color="auto"/>
        <w:left w:val="none" w:sz="0" w:space="0" w:color="auto"/>
        <w:bottom w:val="none" w:sz="0" w:space="0" w:color="auto"/>
        <w:right w:val="none" w:sz="0" w:space="0" w:color="auto"/>
      </w:divBdr>
      <w:divsChild>
        <w:div w:id="911046269">
          <w:marLeft w:val="0"/>
          <w:marRight w:val="0"/>
          <w:marTop w:val="0"/>
          <w:marBottom w:val="0"/>
          <w:divBdr>
            <w:top w:val="none" w:sz="0" w:space="0" w:color="auto"/>
            <w:left w:val="none" w:sz="0" w:space="0" w:color="auto"/>
            <w:bottom w:val="none" w:sz="0" w:space="0" w:color="auto"/>
            <w:right w:val="none" w:sz="0" w:space="0" w:color="auto"/>
          </w:divBdr>
        </w:div>
      </w:divsChild>
    </w:div>
    <w:div w:id="969868846">
      <w:bodyDiv w:val="1"/>
      <w:marLeft w:val="0"/>
      <w:marRight w:val="0"/>
      <w:marTop w:val="0"/>
      <w:marBottom w:val="0"/>
      <w:divBdr>
        <w:top w:val="none" w:sz="0" w:space="0" w:color="auto"/>
        <w:left w:val="none" w:sz="0" w:space="0" w:color="auto"/>
        <w:bottom w:val="none" w:sz="0" w:space="0" w:color="auto"/>
        <w:right w:val="none" w:sz="0" w:space="0" w:color="auto"/>
      </w:divBdr>
      <w:divsChild>
        <w:div w:id="296565906">
          <w:marLeft w:val="0"/>
          <w:marRight w:val="0"/>
          <w:marTop w:val="0"/>
          <w:marBottom w:val="0"/>
          <w:divBdr>
            <w:top w:val="none" w:sz="0" w:space="0" w:color="auto"/>
            <w:left w:val="none" w:sz="0" w:space="0" w:color="auto"/>
            <w:bottom w:val="none" w:sz="0" w:space="0" w:color="auto"/>
            <w:right w:val="none" w:sz="0" w:space="0" w:color="auto"/>
          </w:divBdr>
        </w:div>
      </w:divsChild>
    </w:div>
    <w:div w:id="996228643">
      <w:bodyDiv w:val="1"/>
      <w:marLeft w:val="0"/>
      <w:marRight w:val="0"/>
      <w:marTop w:val="0"/>
      <w:marBottom w:val="0"/>
      <w:divBdr>
        <w:top w:val="none" w:sz="0" w:space="0" w:color="auto"/>
        <w:left w:val="none" w:sz="0" w:space="0" w:color="auto"/>
        <w:bottom w:val="none" w:sz="0" w:space="0" w:color="auto"/>
        <w:right w:val="none" w:sz="0" w:space="0" w:color="auto"/>
      </w:divBdr>
      <w:divsChild>
        <w:div w:id="1033923853">
          <w:marLeft w:val="0"/>
          <w:marRight w:val="0"/>
          <w:marTop w:val="0"/>
          <w:marBottom w:val="0"/>
          <w:divBdr>
            <w:top w:val="none" w:sz="0" w:space="0" w:color="auto"/>
            <w:left w:val="none" w:sz="0" w:space="0" w:color="auto"/>
            <w:bottom w:val="none" w:sz="0" w:space="0" w:color="auto"/>
            <w:right w:val="none" w:sz="0" w:space="0" w:color="auto"/>
          </w:divBdr>
        </w:div>
      </w:divsChild>
    </w:div>
    <w:div w:id="1037655912">
      <w:bodyDiv w:val="1"/>
      <w:marLeft w:val="0"/>
      <w:marRight w:val="0"/>
      <w:marTop w:val="0"/>
      <w:marBottom w:val="0"/>
      <w:divBdr>
        <w:top w:val="none" w:sz="0" w:space="0" w:color="auto"/>
        <w:left w:val="none" w:sz="0" w:space="0" w:color="auto"/>
        <w:bottom w:val="none" w:sz="0" w:space="0" w:color="auto"/>
        <w:right w:val="none" w:sz="0" w:space="0" w:color="auto"/>
      </w:divBdr>
      <w:divsChild>
        <w:div w:id="1203595943">
          <w:marLeft w:val="0"/>
          <w:marRight w:val="0"/>
          <w:marTop w:val="0"/>
          <w:marBottom w:val="0"/>
          <w:divBdr>
            <w:top w:val="none" w:sz="0" w:space="0" w:color="auto"/>
            <w:left w:val="none" w:sz="0" w:space="0" w:color="auto"/>
            <w:bottom w:val="none" w:sz="0" w:space="0" w:color="auto"/>
            <w:right w:val="none" w:sz="0" w:space="0" w:color="auto"/>
          </w:divBdr>
        </w:div>
      </w:divsChild>
    </w:div>
    <w:div w:id="1274627540">
      <w:bodyDiv w:val="1"/>
      <w:marLeft w:val="0"/>
      <w:marRight w:val="0"/>
      <w:marTop w:val="0"/>
      <w:marBottom w:val="0"/>
      <w:divBdr>
        <w:top w:val="none" w:sz="0" w:space="0" w:color="auto"/>
        <w:left w:val="none" w:sz="0" w:space="0" w:color="auto"/>
        <w:bottom w:val="none" w:sz="0" w:space="0" w:color="auto"/>
        <w:right w:val="none" w:sz="0" w:space="0" w:color="auto"/>
      </w:divBdr>
      <w:divsChild>
        <w:div w:id="1572110127">
          <w:marLeft w:val="0"/>
          <w:marRight w:val="0"/>
          <w:marTop w:val="0"/>
          <w:marBottom w:val="0"/>
          <w:divBdr>
            <w:top w:val="none" w:sz="0" w:space="0" w:color="auto"/>
            <w:left w:val="none" w:sz="0" w:space="0" w:color="auto"/>
            <w:bottom w:val="none" w:sz="0" w:space="0" w:color="auto"/>
            <w:right w:val="none" w:sz="0" w:space="0" w:color="auto"/>
          </w:divBdr>
        </w:div>
      </w:divsChild>
    </w:div>
    <w:div w:id="1427187211">
      <w:bodyDiv w:val="1"/>
      <w:marLeft w:val="0"/>
      <w:marRight w:val="0"/>
      <w:marTop w:val="0"/>
      <w:marBottom w:val="0"/>
      <w:divBdr>
        <w:top w:val="none" w:sz="0" w:space="0" w:color="auto"/>
        <w:left w:val="none" w:sz="0" w:space="0" w:color="auto"/>
        <w:bottom w:val="none" w:sz="0" w:space="0" w:color="auto"/>
        <w:right w:val="none" w:sz="0" w:space="0" w:color="auto"/>
      </w:divBdr>
      <w:divsChild>
        <w:div w:id="819342761">
          <w:marLeft w:val="0"/>
          <w:marRight w:val="0"/>
          <w:marTop w:val="0"/>
          <w:marBottom w:val="0"/>
          <w:divBdr>
            <w:top w:val="none" w:sz="0" w:space="0" w:color="auto"/>
            <w:left w:val="none" w:sz="0" w:space="0" w:color="auto"/>
            <w:bottom w:val="none" w:sz="0" w:space="0" w:color="auto"/>
            <w:right w:val="none" w:sz="0" w:space="0" w:color="auto"/>
          </w:divBdr>
        </w:div>
      </w:divsChild>
    </w:div>
    <w:div w:id="1517158887">
      <w:bodyDiv w:val="1"/>
      <w:marLeft w:val="0"/>
      <w:marRight w:val="0"/>
      <w:marTop w:val="0"/>
      <w:marBottom w:val="0"/>
      <w:divBdr>
        <w:top w:val="none" w:sz="0" w:space="0" w:color="auto"/>
        <w:left w:val="none" w:sz="0" w:space="0" w:color="auto"/>
        <w:bottom w:val="none" w:sz="0" w:space="0" w:color="auto"/>
        <w:right w:val="none" w:sz="0" w:space="0" w:color="auto"/>
      </w:divBdr>
      <w:divsChild>
        <w:div w:id="1010256617">
          <w:marLeft w:val="0"/>
          <w:marRight w:val="0"/>
          <w:marTop w:val="0"/>
          <w:marBottom w:val="0"/>
          <w:divBdr>
            <w:top w:val="none" w:sz="0" w:space="0" w:color="auto"/>
            <w:left w:val="none" w:sz="0" w:space="0" w:color="auto"/>
            <w:bottom w:val="none" w:sz="0" w:space="0" w:color="auto"/>
            <w:right w:val="none" w:sz="0" w:space="0" w:color="auto"/>
          </w:divBdr>
        </w:div>
      </w:divsChild>
    </w:div>
    <w:div w:id="1582637157">
      <w:bodyDiv w:val="1"/>
      <w:marLeft w:val="0"/>
      <w:marRight w:val="0"/>
      <w:marTop w:val="0"/>
      <w:marBottom w:val="0"/>
      <w:divBdr>
        <w:top w:val="none" w:sz="0" w:space="0" w:color="auto"/>
        <w:left w:val="none" w:sz="0" w:space="0" w:color="auto"/>
        <w:bottom w:val="none" w:sz="0" w:space="0" w:color="auto"/>
        <w:right w:val="none" w:sz="0" w:space="0" w:color="auto"/>
      </w:divBdr>
      <w:divsChild>
        <w:div w:id="831062345">
          <w:marLeft w:val="0"/>
          <w:marRight w:val="0"/>
          <w:marTop w:val="0"/>
          <w:marBottom w:val="0"/>
          <w:divBdr>
            <w:top w:val="none" w:sz="0" w:space="0" w:color="auto"/>
            <w:left w:val="none" w:sz="0" w:space="0" w:color="auto"/>
            <w:bottom w:val="none" w:sz="0" w:space="0" w:color="auto"/>
            <w:right w:val="none" w:sz="0" w:space="0" w:color="auto"/>
          </w:divBdr>
        </w:div>
      </w:divsChild>
    </w:div>
    <w:div w:id="1694070000">
      <w:bodyDiv w:val="1"/>
      <w:marLeft w:val="0"/>
      <w:marRight w:val="0"/>
      <w:marTop w:val="0"/>
      <w:marBottom w:val="0"/>
      <w:divBdr>
        <w:top w:val="none" w:sz="0" w:space="0" w:color="auto"/>
        <w:left w:val="none" w:sz="0" w:space="0" w:color="auto"/>
        <w:bottom w:val="none" w:sz="0" w:space="0" w:color="auto"/>
        <w:right w:val="none" w:sz="0" w:space="0" w:color="auto"/>
      </w:divBdr>
      <w:divsChild>
        <w:div w:id="890727501">
          <w:marLeft w:val="0"/>
          <w:marRight w:val="0"/>
          <w:marTop w:val="0"/>
          <w:marBottom w:val="0"/>
          <w:divBdr>
            <w:top w:val="none" w:sz="0" w:space="0" w:color="auto"/>
            <w:left w:val="none" w:sz="0" w:space="0" w:color="auto"/>
            <w:bottom w:val="none" w:sz="0" w:space="0" w:color="auto"/>
            <w:right w:val="none" w:sz="0" w:space="0" w:color="auto"/>
          </w:divBdr>
        </w:div>
      </w:divsChild>
    </w:div>
    <w:div w:id="1746150249">
      <w:bodyDiv w:val="1"/>
      <w:marLeft w:val="0"/>
      <w:marRight w:val="0"/>
      <w:marTop w:val="0"/>
      <w:marBottom w:val="0"/>
      <w:divBdr>
        <w:top w:val="none" w:sz="0" w:space="0" w:color="auto"/>
        <w:left w:val="none" w:sz="0" w:space="0" w:color="auto"/>
        <w:bottom w:val="none" w:sz="0" w:space="0" w:color="auto"/>
        <w:right w:val="none" w:sz="0" w:space="0" w:color="auto"/>
      </w:divBdr>
      <w:divsChild>
        <w:div w:id="1944140934">
          <w:marLeft w:val="0"/>
          <w:marRight w:val="0"/>
          <w:marTop w:val="0"/>
          <w:marBottom w:val="0"/>
          <w:divBdr>
            <w:top w:val="none" w:sz="0" w:space="0" w:color="auto"/>
            <w:left w:val="none" w:sz="0" w:space="0" w:color="auto"/>
            <w:bottom w:val="none" w:sz="0" w:space="0" w:color="auto"/>
            <w:right w:val="none" w:sz="0" w:space="0" w:color="auto"/>
          </w:divBdr>
        </w:div>
      </w:divsChild>
    </w:div>
    <w:div w:id="1972248618">
      <w:bodyDiv w:val="1"/>
      <w:marLeft w:val="0"/>
      <w:marRight w:val="0"/>
      <w:marTop w:val="0"/>
      <w:marBottom w:val="0"/>
      <w:divBdr>
        <w:top w:val="none" w:sz="0" w:space="0" w:color="auto"/>
        <w:left w:val="none" w:sz="0" w:space="0" w:color="auto"/>
        <w:bottom w:val="none" w:sz="0" w:space="0" w:color="auto"/>
        <w:right w:val="none" w:sz="0" w:space="0" w:color="auto"/>
      </w:divBdr>
      <w:divsChild>
        <w:div w:id="1965386292">
          <w:marLeft w:val="0"/>
          <w:marRight w:val="0"/>
          <w:marTop w:val="0"/>
          <w:marBottom w:val="0"/>
          <w:divBdr>
            <w:top w:val="none" w:sz="0" w:space="0" w:color="auto"/>
            <w:left w:val="none" w:sz="0" w:space="0" w:color="auto"/>
            <w:bottom w:val="none" w:sz="0" w:space="0" w:color="auto"/>
            <w:right w:val="none" w:sz="0" w:space="0" w:color="auto"/>
          </w:divBdr>
        </w:div>
      </w:divsChild>
    </w:div>
    <w:div w:id="2000383968">
      <w:bodyDiv w:val="1"/>
      <w:marLeft w:val="0"/>
      <w:marRight w:val="0"/>
      <w:marTop w:val="0"/>
      <w:marBottom w:val="0"/>
      <w:divBdr>
        <w:top w:val="none" w:sz="0" w:space="0" w:color="auto"/>
        <w:left w:val="none" w:sz="0" w:space="0" w:color="auto"/>
        <w:bottom w:val="none" w:sz="0" w:space="0" w:color="auto"/>
        <w:right w:val="none" w:sz="0" w:space="0" w:color="auto"/>
      </w:divBdr>
      <w:divsChild>
        <w:div w:id="676078427">
          <w:marLeft w:val="0"/>
          <w:marRight w:val="0"/>
          <w:marTop w:val="0"/>
          <w:marBottom w:val="0"/>
          <w:divBdr>
            <w:top w:val="none" w:sz="0" w:space="0" w:color="auto"/>
            <w:left w:val="none" w:sz="0" w:space="0" w:color="auto"/>
            <w:bottom w:val="none" w:sz="0" w:space="0" w:color="auto"/>
            <w:right w:val="none" w:sz="0" w:space="0" w:color="auto"/>
          </w:divBdr>
        </w:div>
      </w:divsChild>
    </w:div>
    <w:div w:id="2015723479">
      <w:bodyDiv w:val="1"/>
      <w:marLeft w:val="0"/>
      <w:marRight w:val="0"/>
      <w:marTop w:val="0"/>
      <w:marBottom w:val="0"/>
      <w:divBdr>
        <w:top w:val="none" w:sz="0" w:space="0" w:color="auto"/>
        <w:left w:val="none" w:sz="0" w:space="0" w:color="auto"/>
        <w:bottom w:val="none" w:sz="0" w:space="0" w:color="auto"/>
        <w:right w:val="none" w:sz="0" w:space="0" w:color="auto"/>
      </w:divBdr>
      <w:divsChild>
        <w:div w:id="1298295285">
          <w:marLeft w:val="0"/>
          <w:marRight w:val="0"/>
          <w:marTop w:val="0"/>
          <w:marBottom w:val="0"/>
          <w:divBdr>
            <w:top w:val="none" w:sz="0" w:space="0" w:color="auto"/>
            <w:left w:val="none" w:sz="0" w:space="0" w:color="auto"/>
            <w:bottom w:val="none" w:sz="0" w:space="0" w:color="auto"/>
            <w:right w:val="none" w:sz="0" w:space="0" w:color="auto"/>
          </w:divBdr>
        </w:div>
      </w:divsChild>
    </w:div>
    <w:div w:id="2033338067">
      <w:bodyDiv w:val="1"/>
      <w:marLeft w:val="0"/>
      <w:marRight w:val="0"/>
      <w:marTop w:val="0"/>
      <w:marBottom w:val="0"/>
      <w:divBdr>
        <w:top w:val="none" w:sz="0" w:space="0" w:color="auto"/>
        <w:left w:val="none" w:sz="0" w:space="0" w:color="auto"/>
        <w:bottom w:val="none" w:sz="0" w:space="0" w:color="auto"/>
        <w:right w:val="none" w:sz="0" w:space="0" w:color="auto"/>
      </w:divBdr>
      <w:divsChild>
        <w:div w:id="455609214">
          <w:marLeft w:val="0"/>
          <w:marRight w:val="0"/>
          <w:marTop w:val="0"/>
          <w:marBottom w:val="0"/>
          <w:divBdr>
            <w:top w:val="none" w:sz="0" w:space="0" w:color="auto"/>
            <w:left w:val="none" w:sz="0" w:space="0" w:color="auto"/>
            <w:bottom w:val="none" w:sz="0" w:space="0" w:color="auto"/>
            <w:right w:val="none" w:sz="0" w:space="0" w:color="auto"/>
          </w:divBdr>
        </w:div>
      </w:divsChild>
    </w:div>
    <w:div w:id="2053268680">
      <w:bodyDiv w:val="1"/>
      <w:marLeft w:val="0"/>
      <w:marRight w:val="0"/>
      <w:marTop w:val="0"/>
      <w:marBottom w:val="0"/>
      <w:divBdr>
        <w:top w:val="none" w:sz="0" w:space="0" w:color="auto"/>
        <w:left w:val="none" w:sz="0" w:space="0" w:color="auto"/>
        <w:bottom w:val="none" w:sz="0" w:space="0" w:color="auto"/>
        <w:right w:val="none" w:sz="0" w:space="0" w:color="auto"/>
      </w:divBdr>
      <w:divsChild>
        <w:div w:id="476649213">
          <w:marLeft w:val="0"/>
          <w:marRight w:val="0"/>
          <w:marTop w:val="0"/>
          <w:marBottom w:val="0"/>
          <w:divBdr>
            <w:top w:val="none" w:sz="0" w:space="0" w:color="auto"/>
            <w:left w:val="none" w:sz="0" w:space="0" w:color="auto"/>
            <w:bottom w:val="none" w:sz="0" w:space="0" w:color="auto"/>
            <w:right w:val="none" w:sz="0" w:space="0" w:color="auto"/>
          </w:divBdr>
        </w:div>
      </w:divsChild>
    </w:div>
    <w:div w:id="2116898808">
      <w:bodyDiv w:val="1"/>
      <w:marLeft w:val="0"/>
      <w:marRight w:val="0"/>
      <w:marTop w:val="0"/>
      <w:marBottom w:val="0"/>
      <w:divBdr>
        <w:top w:val="none" w:sz="0" w:space="0" w:color="auto"/>
        <w:left w:val="none" w:sz="0" w:space="0" w:color="auto"/>
        <w:bottom w:val="none" w:sz="0" w:space="0" w:color="auto"/>
        <w:right w:val="none" w:sz="0" w:space="0" w:color="auto"/>
      </w:divBdr>
      <w:divsChild>
        <w:div w:id="156240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8A9B-02CF-49B8-B19D-07AFA93A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5331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Wójcikiewicz-Kawa Agata</dc:creator>
  <cp:keywords/>
  <dc:description/>
  <cp:lastModifiedBy>Tomasz Kuydowicz</cp:lastModifiedBy>
  <cp:revision>5</cp:revision>
  <dcterms:created xsi:type="dcterms:W3CDTF">2026-06-22T09:51:00Z</dcterms:created>
  <dcterms:modified xsi:type="dcterms:W3CDTF">2026-06-25T11:29:00Z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a5d7e0-a6ae-47b8-8592-eac7f470fba7_Enabled">
    <vt:lpwstr>true</vt:lpwstr>
  </property>
  <property fmtid="{D5CDD505-2E9C-101B-9397-08002B2CF9AE}" pid="3" name="MSIP_Label_fda5d7e0-a6ae-47b8-8592-eac7f470fba7_SetDate">
    <vt:lpwstr>2026-06-15T06:43:43Z</vt:lpwstr>
  </property>
  <property fmtid="{D5CDD505-2E9C-101B-9397-08002B2CF9AE}" pid="4" name="MSIP_Label_fda5d7e0-a6ae-47b8-8592-eac7f470fba7_Method">
    <vt:lpwstr>Standard</vt:lpwstr>
  </property>
  <property fmtid="{D5CDD505-2E9C-101B-9397-08002B2CF9AE}" pid="5" name="MSIP_Label_fda5d7e0-a6ae-47b8-8592-eac7f470fba7_Name">
    <vt:lpwstr>Wewnętrzny - SL2 -bez AI</vt:lpwstr>
  </property>
  <property fmtid="{D5CDD505-2E9C-101B-9397-08002B2CF9AE}" pid="6" name="MSIP_Label_fda5d7e0-a6ae-47b8-8592-eac7f470fba7_SiteId">
    <vt:lpwstr>f583f0e4-0fe2-4e46-8bc7-ff287059e206</vt:lpwstr>
  </property>
  <property fmtid="{D5CDD505-2E9C-101B-9397-08002B2CF9AE}" pid="7" name="MSIP_Label_fda5d7e0-a6ae-47b8-8592-eac7f470fba7_ActionId">
    <vt:lpwstr>e21b6359-08d8-4dcb-a23e-91828194c9f0</vt:lpwstr>
  </property>
  <property fmtid="{D5CDD505-2E9C-101B-9397-08002B2CF9AE}" pid="8" name="MSIP_Label_fda5d7e0-a6ae-47b8-8592-eac7f470fba7_ContentBits">
    <vt:lpwstr>0</vt:lpwstr>
  </property>
</Properties>
</file>