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C903" w14:textId="3A14653D" w:rsidR="009A57CE" w:rsidRPr="009A57CE" w:rsidRDefault="00CA2841" w:rsidP="008B766F">
      <w:pPr>
        <w:spacing w:after="0" w:line="240" w:lineRule="auto"/>
        <w:jc w:val="center"/>
        <w:rPr>
          <w:rFonts w:ascii="Open Sans" w:hAnsi="Open Sans" w:cs="Open Sans"/>
          <w:b/>
          <w:bCs/>
          <w:sz w:val="20"/>
          <w:szCs w:val="20"/>
        </w:rPr>
      </w:pPr>
      <w:bookmarkStart w:id="0" w:name="_Hlk107398740"/>
      <w:r w:rsidRPr="009A57CE">
        <w:rPr>
          <w:rFonts w:ascii="Open Sans" w:hAnsi="Open Sans" w:cs="Open Sans"/>
          <w:b/>
          <w:bCs/>
          <w:sz w:val="20"/>
          <w:szCs w:val="20"/>
        </w:rPr>
        <w:t xml:space="preserve">Uwagi do </w:t>
      </w:r>
      <w:r w:rsidR="009A57CE" w:rsidRPr="009A57CE">
        <w:rPr>
          <w:rFonts w:ascii="Open Sans" w:hAnsi="Open Sans" w:cs="Open Sans"/>
          <w:b/>
          <w:bCs/>
          <w:sz w:val="20"/>
          <w:szCs w:val="20"/>
        </w:rPr>
        <w:t xml:space="preserve">projektu </w:t>
      </w:r>
    </w:p>
    <w:p w14:paraId="711D6FEE" w14:textId="77777777" w:rsidR="00CA2841" w:rsidRPr="009A57CE" w:rsidRDefault="00CA2841" w:rsidP="008B766F">
      <w:pPr>
        <w:spacing w:after="0" w:line="240" w:lineRule="auto"/>
        <w:rPr>
          <w:rFonts w:ascii="Open Sans" w:hAnsi="Open Sans" w:cs="Open Sans"/>
          <w:sz w:val="20"/>
          <w:szCs w:val="20"/>
        </w:rPr>
      </w:pPr>
    </w:p>
    <w:tbl>
      <w:tblPr>
        <w:tblStyle w:val="Tabela-Siatka"/>
        <w:tblpPr w:leftFromText="142" w:rightFromText="142" w:vertAnchor="text" w:horzAnchor="margin" w:tblpXSpec="center" w:tblpY="58"/>
        <w:tblW w:w="15740" w:type="dxa"/>
        <w:tblLayout w:type="fixed"/>
        <w:tblLook w:val="04A0" w:firstRow="1" w:lastRow="0" w:firstColumn="1" w:lastColumn="0" w:noHBand="0" w:noVBand="1"/>
      </w:tblPr>
      <w:tblGrid>
        <w:gridCol w:w="562"/>
        <w:gridCol w:w="1701"/>
        <w:gridCol w:w="2694"/>
        <w:gridCol w:w="5103"/>
        <w:gridCol w:w="4252"/>
        <w:gridCol w:w="1428"/>
      </w:tblGrid>
      <w:tr w:rsidR="0090574C" w:rsidRPr="009A57CE" w14:paraId="47E9ED08" w14:textId="77777777" w:rsidTr="009A57CE">
        <w:trPr>
          <w:trHeight w:val="551"/>
          <w:tblHeader/>
        </w:trPr>
        <w:tc>
          <w:tcPr>
            <w:tcW w:w="562" w:type="dxa"/>
            <w:vAlign w:val="center"/>
          </w:tcPr>
          <w:p w14:paraId="115BF413" w14:textId="6257DDCF"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Lp.</w:t>
            </w:r>
          </w:p>
        </w:tc>
        <w:tc>
          <w:tcPr>
            <w:tcW w:w="1701" w:type="dxa"/>
            <w:vAlign w:val="center"/>
          </w:tcPr>
          <w:p w14:paraId="0FAF4510" w14:textId="4FD6EB74"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Podmiot wnoszący uwag</w:t>
            </w:r>
            <w:r w:rsidR="00B91BB7" w:rsidRPr="009A57CE">
              <w:rPr>
                <w:rFonts w:ascii="Open Sans" w:hAnsi="Open Sans" w:cs="Open Sans"/>
                <w:b/>
                <w:bCs/>
                <w:sz w:val="20"/>
                <w:szCs w:val="20"/>
              </w:rPr>
              <w:t>ę</w:t>
            </w:r>
          </w:p>
        </w:tc>
        <w:tc>
          <w:tcPr>
            <w:tcW w:w="2694" w:type="dxa"/>
            <w:vAlign w:val="center"/>
          </w:tcPr>
          <w:p w14:paraId="51F92737" w14:textId="202BCB41"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Jednostka redakcyjna, do której wnoszon</w:t>
            </w:r>
            <w:r w:rsidR="00B91BB7" w:rsidRPr="009A57CE">
              <w:rPr>
                <w:rFonts w:ascii="Open Sans" w:hAnsi="Open Sans" w:cs="Open Sans"/>
                <w:b/>
                <w:bCs/>
                <w:sz w:val="20"/>
                <w:szCs w:val="20"/>
              </w:rPr>
              <w:t>a jest</w:t>
            </w:r>
            <w:r w:rsidRPr="009A57CE">
              <w:rPr>
                <w:rFonts w:ascii="Open Sans" w:hAnsi="Open Sans" w:cs="Open Sans"/>
                <w:b/>
                <w:bCs/>
                <w:sz w:val="20"/>
                <w:szCs w:val="20"/>
              </w:rPr>
              <w:t xml:space="preserve"> uwag</w:t>
            </w:r>
            <w:r w:rsidR="00B91BB7" w:rsidRPr="009A57CE">
              <w:rPr>
                <w:rFonts w:ascii="Open Sans" w:hAnsi="Open Sans" w:cs="Open Sans"/>
                <w:b/>
                <w:bCs/>
                <w:sz w:val="20"/>
                <w:szCs w:val="20"/>
              </w:rPr>
              <w:t>a</w:t>
            </w:r>
          </w:p>
        </w:tc>
        <w:tc>
          <w:tcPr>
            <w:tcW w:w="5103" w:type="dxa"/>
            <w:vAlign w:val="center"/>
          </w:tcPr>
          <w:p w14:paraId="74AACE5A" w14:textId="0BDDBBD7"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Treść uwagi</w:t>
            </w:r>
          </w:p>
        </w:tc>
        <w:tc>
          <w:tcPr>
            <w:tcW w:w="4252" w:type="dxa"/>
            <w:vAlign w:val="center"/>
          </w:tcPr>
          <w:p w14:paraId="7C9E6D74" w14:textId="597CDAA9"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 xml:space="preserve">Propozycja </w:t>
            </w:r>
            <w:r w:rsidR="00773DAD" w:rsidRPr="009A57CE">
              <w:rPr>
                <w:rFonts w:ascii="Open Sans" w:hAnsi="Open Sans" w:cs="Open Sans"/>
                <w:b/>
                <w:bCs/>
                <w:sz w:val="20"/>
                <w:szCs w:val="20"/>
              </w:rPr>
              <w:t>brzmienia</w:t>
            </w:r>
            <w:r w:rsidR="00C93278" w:rsidRPr="009A57CE">
              <w:rPr>
                <w:rFonts w:ascii="Open Sans" w:hAnsi="Open Sans" w:cs="Open Sans"/>
                <w:b/>
                <w:bCs/>
                <w:sz w:val="20"/>
                <w:szCs w:val="20"/>
              </w:rPr>
              <w:t xml:space="preserve"> przepisu</w:t>
            </w:r>
          </w:p>
        </w:tc>
        <w:tc>
          <w:tcPr>
            <w:tcW w:w="1428" w:type="dxa"/>
            <w:vAlign w:val="center"/>
          </w:tcPr>
          <w:p w14:paraId="2C049C38" w14:textId="382C7B91" w:rsidR="0090574C" w:rsidRPr="009A57CE" w:rsidRDefault="0090574C" w:rsidP="009A57CE">
            <w:pPr>
              <w:jc w:val="center"/>
              <w:rPr>
                <w:rFonts w:ascii="Open Sans" w:hAnsi="Open Sans" w:cs="Open Sans"/>
                <w:b/>
                <w:bCs/>
                <w:sz w:val="20"/>
                <w:szCs w:val="20"/>
              </w:rPr>
            </w:pPr>
            <w:r w:rsidRPr="009A57CE">
              <w:rPr>
                <w:rFonts w:ascii="Open Sans" w:hAnsi="Open Sans" w:cs="Open Sans"/>
                <w:b/>
                <w:bCs/>
                <w:sz w:val="20"/>
                <w:szCs w:val="20"/>
              </w:rPr>
              <w:t>Stanowisko do uwagi</w:t>
            </w:r>
          </w:p>
        </w:tc>
      </w:tr>
      <w:tr w:rsidR="0090574C" w:rsidRPr="009A57CE" w14:paraId="27D19DF6" w14:textId="77777777" w:rsidTr="009B5AD6">
        <w:tc>
          <w:tcPr>
            <w:tcW w:w="562" w:type="dxa"/>
          </w:tcPr>
          <w:p w14:paraId="743719D4" w14:textId="77777777" w:rsidR="0090574C" w:rsidRPr="009A57CE" w:rsidRDefault="0090574C" w:rsidP="008B766F">
            <w:pPr>
              <w:jc w:val="center"/>
              <w:rPr>
                <w:rFonts w:ascii="Open Sans" w:hAnsi="Open Sans" w:cs="Open Sans"/>
                <w:sz w:val="20"/>
                <w:szCs w:val="20"/>
              </w:rPr>
            </w:pPr>
            <w:r w:rsidRPr="009A57CE">
              <w:rPr>
                <w:rFonts w:ascii="Open Sans" w:hAnsi="Open Sans" w:cs="Open Sans"/>
                <w:sz w:val="20"/>
                <w:szCs w:val="20"/>
              </w:rPr>
              <w:t>1</w:t>
            </w:r>
          </w:p>
        </w:tc>
        <w:tc>
          <w:tcPr>
            <w:tcW w:w="1701" w:type="dxa"/>
          </w:tcPr>
          <w:p w14:paraId="00E6D6A0" w14:textId="6C2ECB14" w:rsidR="0090574C" w:rsidRPr="009A57CE" w:rsidRDefault="005666E9" w:rsidP="005666E9">
            <w:pPr>
              <w:rPr>
                <w:rFonts w:ascii="Open Sans" w:hAnsi="Open Sans" w:cs="Open Sans"/>
                <w:sz w:val="20"/>
                <w:szCs w:val="20"/>
              </w:rPr>
            </w:pPr>
            <w:r>
              <w:rPr>
                <w:rFonts w:ascii="Open Sans" w:hAnsi="Open Sans" w:cs="Open Sans"/>
                <w:sz w:val="20"/>
                <w:szCs w:val="20"/>
              </w:rPr>
              <w:t>Związek Pracodawców Polska Miedź</w:t>
            </w:r>
          </w:p>
        </w:tc>
        <w:tc>
          <w:tcPr>
            <w:tcW w:w="2694" w:type="dxa"/>
          </w:tcPr>
          <w:p w14:paraId="32C46E4D" w14:textId="139F1186" w:rsidR="0090574C" w:rsidRPr="009A57CE" w:rsidRDefault="00B0225B" w:rsidP="008B766F">
            <w:pPr>
              <w:jc w:val="both"/>
              <w:rPr>
                <w:rFonts w:ascii="Open Sans" w:hAnsi="Open Sans" w:cs="Open Sans"/>
                <w:sz w:val="20"/>
                <w:szCs w:val="20"/>
              </w:rPr>
            </w:pPr>
            <w:r>
              <w:rPr>
                <w:rFonts w:ascii="Open Sans" w:hAnsi="Open Sans" w:cs="Open Sans"/>
                <w:sz w:val="20"/>
                <w:szCs w:val="20"/>
              </w:rPr>
              <w:t>§ 2 pkt 62</w:t>
            </w:r>
          </w:p>
        </w:tc>
        <w:tc>
          <w:tcPr>
            <w:tcW w:w="5103" w:type="dxa"/>
          </w:tcPr>
          <w:p w14:paraId="25996641" w14:textId="6FA33543" w:rsidR="0090574C" w:rsidRPr="00F03164" w:rsidRDefault="00FE351B" w:rsidP="008B766F">
            <w:pPr>
              <w:jc w:val="both"/>
              <w:rPr>
                <w:rFonts w:ascii="Open Sans" w:hAnsi="Open Sans" w:cs="Open Sans"/>
                <w:sz w:val="20"/>
                <w:szCs w:val="20"/>
              </w:rPr>
            </w:pPr>
            <w:r w:rsidRPr="00F03164">
              <w:rPr>
                <w:rFonts w:ascii="Open Sans" w:hAnsi="Open Sans" w:cs="Open Sans"/>
                <w:sz w:val="20"/>
                <w:szCs w:val="20"/>
              </w:rPr>
              <w:t xml:space="preserve">Projekt rozporządzenia wprowadza nową kategorię pojęciową </w:t>
            </w:r>
            <w:r w:rsidR="00634348" w:rsidRPr="00F03164">
              <w:rPr>
                <w:rFonts w:ascii="Open Sans" w:hAnsi="Open Sans" w:cs="Open Sans"/>
                <w:sz w:val="20"/>
                <w:szCs w:val="20"/>
              </w:rPr>
              <w:t>„</w:t>
            </w:r>
            <w:r w:rsidRPr="00F03164">
              <w:rPr>
                <w:rFonts w:ascii="Open Sans" w:hAnsi="Open Sans" w:cs="Open Sans"/>
                <w:sz w:val="20"/>
                <w:szCs w:val="20"/>
              </w:rPr>
              <w:t>zas</w:t>
            </w:r>
            <w:r w:rsidR="00634348" w:rsidRPr="00F03164">
              <w:rPr>
                <w:rFonts w:ascii="Open Sans" w:hAnsi="Open Sans" w:cs="Open Sans"/>
                <w:sz w:val="20"/>
                <w:szCs w:val="20"/>
              </w:rPr>
              <w:t>ób</w:t>
            </w:r>
            <w:r w:rsidRPr="00F03164">
              <w:rPr>
                <w:rFonts w:ascii="Open Sans" w:hAnsi="Open Sans" w:cs="Open Sans"/>
                <w:sz w:val="20"/>
                <w:szCs w:val="20"/>
              </w:rPr>
              <w:t xml:space="preserve"> regulacyjn</w:t>
            </w:r>
            <w:r w:rsidR="00F03164">
              <w:rPr>
                <w:rFonts w:ascii="Open Sans" w:hAnsi="Open Sans" w:cs="Open Sans"/>
                <w:sz w:val="20"/>
                <w:szCs w:val="20"/>
              </w:rPr>
              <w:t>y</w:t>
            </w:r>
            <w:r w:rsidR="00634348" w:rsidRPr="00F03164">
              <w:rPr>
                <w:rFonts w:ascii="Open Sans" w:hAnsi="Open Sans" w:cs="Open Sans"/>
                <w:sz w:val="20"/>
                <w:szCs w:val="20"/>
              </w:rPr>
              <w:t>”</w:t>
            </w:r>
            <w:r w:rsidRPr="00F03164">
              <w:rPr>
                <w:rFonts w:ascii="Open Sans" w:hAnsi="Open Sans" w:cs="Open Sans"/>
                <w:sz w:val="20"/>
                <w:szCs w:val="20"/>
              </w:rPr>
              <w:t>. Pojęcie jest to o tyle istotne, że dla zasobu regulacyjnego istnieje obowiązek ustanowienia dostawcy usług bilansujących (DUB)</w:t>
            </w:r>
            <w:r w:rsidR="00634348" w:rsidRPr="00F03164">
              <w:rPr>
                <w:rFonts w:ascii="Open Sans" w:hAnsi="Open Sans" w:cs="Open Sans"/>
                <w:sz w:val="20"/>
                <w:szCs w:val="20"/>
              </w:rPr>
              <w:t xml:space="preserve"> - § 20 ust. 7</w:t>
            </w:r>
            <w:r w:rsidRPr="00F03164">
              <w:rPr>
                <w:rFonts w:ascii="Open Sans" w:hAnsi="Open Sans" w:cs="Open Sans"/>
                <w:sz w:val="20"/>
                <w:szCs w:val="20"/>
              </w:rPr>
              <w:t xml:space="preserve">. Przyjęcie, że definicja zasobu regulacyjnego obejmuje każdy moduł wytwarzania energii (MWE) o mocy równej co najmniej 10 MW oznacza, że obowiązek ustanowienia DUB, obejmie także źródła o </w:t>
            </w:r>
            <w:r w:rsidRPr="00F03164">
              <w:rPr>
                <w:rFonts w:ascii="Open Sans" w:hAnsi="Open Sans" w:cs="Open Sans"/>
                <w:i/>
                <w:iCs/>
                <w:sz w:val="20"/>
                <w:szCs w:val="20"/>
              </w:rPr>
              <w:t>stricte</w:t>
            </w:r>
            <w:r w:rsidRPr="00F03164">
              <w:rPr>
                <w:rFonts w:ascii="Open Sans" w:hAnsi="Open Sans" w:cs="Open Sans"/>
                <w:sz w:val="20"/>
                <w:szCs w:val="20"/>
              </w:rPr>
              <w:t xml:space="preserve"> autoprodukcyjnym charakterze</w:t>
            </w:r>
            <w:r w:rsidR="00634348" w:rsidRPr="00F03164">
              <w:rPr>
                <w:rFonts w:ascii="Open Sans" w:hAnsi="Open Sans" w:cs="Open Sans"/>
                <w:sz w:val="20"/>
                <w:szCs w:val="20"/>
              </w:rPr>
              <w:t>,</w:t>
            </w:r>
            <w:r w:rsidRPr="00F03164">
              <w:rPr>
                <w:rFonts w:ascii="Open Sans" w:hAnsi="Open Sans" w:cs="Open Sans"/>
                <w:sz w:val="20"/>
                <w:szCs w:val="20"/>
              </w:rPr>
              <w:t xml:space="preserve"> </w:t>
            </w:r>
            <w:r w:rsidR="00634348" w:rsidRPr="00F03164">
              <w:rPr>
                <w:rFonts w:ascii="Open Sans" w:hAnsi="Open Sans" w:cs="Open Sans"/>
                <w:sz w:val="20"/>
                <w:szCs w:val="20"/>
              </w:rPr>
              <w:t>t</w:t>
            </w:r>
            <w:r w:rsidRPr="00F03164">
              <w:rPr>
                <w:rFonts w:ascii="Open Sans" w:hAnsi="Open Sans" w:cs="Open Sans"/>
                <w:sz w:val="20"/>
                <w:szCs w:val="20"/>
              </w:rPr>
              <w:t>o jest takie któr</w:t>
            </w:r>
            <w:r w:rsidR="00634348" w:rsidRPr="00F03164">
              <w:rPr>
                <w:rFonts w:ascii="Open Sans" w:hAnsi="Open Sans" w:cs="Open Sans"/>
                <w:sz w:val="20"/>
                <w:szCs w:val="20"/>
              </w:rPr>
              <w:t>e</w:t>
            </w:r>
            <w:r w:rsidRPr="00F03164">
              <w:rPr>
                <w:rFonts w:ascii="Open Sans" w:hAnsi="Open Sans" w:cs="Open Sans"/>
                <w:sz w:val="20"/>
                <w:szCs w:val="20"/>
              </w:rPr>
              <w:t xml:space="preserve"> nie mają możliwości oddawania energii do sieci</w:t>
            </w:r>
            <w:r w:rsidR="00634348" w:rsidRPr="00F03164">
              <w:rPr>
                <w:rFonts w:ascii="Open Sans" w:hAnsi="Open Sans" w:cs="Open Sans"/>
                <w:sz w:val="20"/>
                <w:szCs w:val="20"/>
              </w:rPr>
              <w:t xml:space="preserve"> i nie były projektowane pod współpracę z systemem</w:t>
            </w:r>
            <w:r w:rsidRPr="00F03164">
              <w:rPr>
                <w:rFonts w:ascii="Open Sans" w:hAnsi="Open Sans" w:cs="Open Sans"/>
                <w:sz w:val="20"/>
                <w:szCs w:val="20"/>
              </w:rPr>
              <w:t xml:space="preserve">. Ustanowienie wobec takich źródeł </w:t>
            </w:r>
            <w:r w:rsidR="008F09FD" w:rsidRPr="00F03164">
              <w:rPr>
                <w:rFonts w:ascii="Open Sans" w:hAnsi="Open Sans" w:cs="Open Sans"/>
                <w:sz w:val="20"/>
                <w:szCs w:val="20"/>
              </w:rPr>
              <w:t>o</w:t>
            </w:r>
            <w:r w:rsidRPr="00F03164">
              <w:rPr>
                <w:rFonts w:ascii="Open Sans" w:hAnsi="Open Sans" w:cs="Open Sans"/>
                <w:sz w:val="20"/>
                <w:szCs w:val="20"/>
              </w:rPr>
              <w:t xml:space="preserve">bowiązku wskazania DUB </w:t>
            </w:r>
            <w:r w:rsidRPr="00F03164">
              <w:rPr>
                <w:rFonts w:ascii="Open Sans" w:hAnsi="Open Sans" w:cs="Open Sans"/>
                <w:i/>
                <w:iCs/>
                <w:sz w:val="20"/>
                <w:szCs w:val="20"/>
              </w:rPr>
              <w:t>de facto</w:t>
            </w:r>
            <w:r w:rsidRPr="00F03164">
              <w:rPr>
                <w:rFonts w:ascii="Open Sans" w:hAnsi="Open Sans" w:cs="Open Sans"/>
                <w:sz w:val="20"/>
                <w:szCs w:val="20"/>
              </w:rPr>
              <w:t xml:space="preserve"> zmusi </w:t>
            </w:r>
            <w:r w:rsidR="008F09FD" w:rsidRPr="00F03164">
              <w:rPr>
                <w:rFonts w:ascii="Open Sans" w:hAnsi="Open Sans" w:cs="Open Sans"/>
                <w:sz w:val="20"/>
                <w:szCs w:val="20"/>
              </w:rPr>
              <w:t xml:space="preserve">wielu </w:t>
            </w:r>
            <w:r w:rsidRPr="00F03164">
              <w:rPr>
                <w:rFonts w:ascii="Open Sans" w:hAnsi="Open Sans" w:cs="Open Sans"/>
                <w:sz w:val="20"/>
                <w:szCs w:val="20"/>
              </w:rPr>
              <w:t xml:space="preserve">właścicieli takich źródeł </w:t>
            </w:r>
            <w:r w:rsidR="008F09FD" w:rsidRPr="00F03164">
              <w:rPr>
                <w:rFonts w:ascii="Open Sans" w:hAnsi="Open Sans" w:cs="Open Sans"/>
                <w:sz w:val="20"/>
                <w:szCs w:val="20"/>
              </w:rPr>
              <w:t>d</w:t>
            </w:r>
            <w:r w:rsidRPr="00F03164">
              <w:rPr>
                <w:rFonts w:ascii="Open Sans" w:hAnsi="Open Sans" w:cs="Open Sans"/>
                <w:sz w:val="20"/>
                <w:szCs w:val="20"/>
              </w:rPr>
              <w:t>o korzystania z usług firm zewnętrzny</w:t>
            </w:r>
            <w:r w:rsidR="008F09FD" w:rsidRPr="00F03164">
              <w:rPr>
                <w:rFonts w:ascii="Open Sans" w:hAnsi="Open Sans" w:cs="Open Sans"/>
                <w:sz w:val="20"/>
                <w:szCs w:val="20"/>
              </w:rPr>
              <w:t xml:space="preserve">ch, </w:t>
            </w:r>
            <w:r w:rsidRPr="00F03164">
              <w:rPr>
                <w:rFonts w:ascii="Open Sans" w:hAnsi="Open Sans" w:cs="Open Sans"/>
                <w:sz w:val="20"/>
                <w:szCs w:val="20"/>
              </w:rPr>
              <w:t>co będzie wiązać się dla nich z dodatkowymi kosztami i obowiązkami (jak np. certyfikacja).</w:t>
            </w:r>
            <w:r w:rsidR="008F09FD" w:rsidRPr="00F03164">
              <w:rPr>
                <w:rFonts w:ascii="Open Sans" w:hAnsi="Open Sans" w:cs="Open Sans"/>
                <w:sz w:val="20"/>
                <w:szCs w:val="20"/>
              </w:rPr>
              <w:t xml:space="preserve"> Podmioty te będą też w pozycji przymusowej – wobec </w:t>
            </w:r>
            <w:r w:rsidR="00634348" w:rsidRPr="00F03164">
              <w:rPr>
                <w:rFonts w:ascii="Open Sans" w:hAnsi="Open Sans" w:cs="Open Sans"/>
                <w:sz w:val="20"/>
                <w:szCs w:val="20"/>
              </w:rPr>
              <w:t>dostawcy usługi</w:t>
            </w:r>
            <w:r w:rsidR="008F09FD" w:rsidRPr="00F03164">
              <w:rPr>
                <w:rFonts w:ascii="Open Sans" w:hAnsi="Open Sans" w:cs="Open Sans"/>
                <w:sz w:val="20"/>
                <w:szCs w:val="20"/>
              </w:rPr>
              <w:t xml:space="preserve"> – co potencjalnie </w:t>
            </w:r>
            <w:r w:rsidR="00634348" w:rsidRPr="00F03164">
              <w:rPr>
                <w:rFonts w:ascii="Open Sans" w:hAnsi="Open Sans" w:cs="Open Sans"/>
                <w:sz w:val="20"/>
                <w:szCs w:val="20"/>
              </w:rPr>
              <w:t xml:space="preserve">może dodatkowo przełożyć się na koszt samej usługi. To wszystko przy ograniczonej możliwości wpływu źródeł autoprodukcyjnych na system (w sytuacji gdy określone dla nich warunki przyłączenia nie przewidują możliwości oddawania energii do sieci). W przypadku MWE powinny funkcjonować analogiczne zasady jak przy magazynach energii, gdzie podstawą do uznania ich za zasób regulacyjny </w:t>
            </w:r>
            <w:r w:rsidR="00D11725" w:rsidRPr="00F03164">
              <w:rPr>
                <w:rFonts w:ascii="Open Sans" w:hAnsi="Open Sans" w:cs="Open Sans"/>
                <w:sz w:val="20"/>
                <w:szCs w:val="20"/>
              </w:rPr>
              <w:t>jest także moc energii wprowadzanej do sieci.</w:t>
            </w:r>
          </w:p>
          <w:p w14:paraId="29DE62F2" w14:textId="77777777" w:rsidR="00D11725" w:rsidRPr="00F03164" w:rsidRDefault="00D11725" w:rsidP="008B766F">
            <w:pPr>
              <w:jc w:val="both"/>
              <w:rPr>
                <w:rFonts w:ascii="Open Sans" w:hAnsi="Open Sans" w:cs="Open Sans"/>
                <w:sz w:val="20"/>
                <w:szCs w:val="20"/>
              </w:rPr>
            </w:pPr>
          </w:p>
          <w:p w14:paraId="725E179E" w14:textId="68ED1270" w:rsidR="00D11725" w:rsidRPr="00F03164" w:rsidRDefault="00D11725" w:rsidP="008B766F">
            <w:pPr>
              <w:jc w:val="both"/>
              <w:rPr>
                <w:rFonts w:ascii="Open Sans" w:hAnsi="Open Sans" w:cs="Open Sans"/>
                <w:sz w:val="20"/>
                <w:szCs w:val="20"/>
              </w:rPr>
            </w:pPr>
            <w:r w:rsidRPr="00F03164">
              <w:rPr>
                <w:rFonts w:ascii="Open Sans" w:hAnsi="Open Sans" w:cs="Open Sans"/>
                <w:sz w:val="20"/>
                <w:szCs w:val="20"/>
              </w:rPr>
              <w:t xml:space="preserve">Uczestniczenie źródeł autoprodukcyjnych w świadczeniu usług systemowych powinno opierać się na pełnej dowolności. Głównym celem </w:t>
            </w:r>
            <w:r w:rsidR="000C6040" w:rsidRPr="00F03164">
              <w:rPr>
                <w:rFonts w:ascii="Open Sans" w:hAnsi="Open Sans" w:cs="Open Sans"/>
                <w:sz w:val="20"/>
                <w:szCs w:val="20"/>
              </w:rPr>
              <w:t xml:space="preserve">tych jednostek </w:t>
            </w:r>
            <w:r w:rsidRPr="00F03164">
              <w:rPr>
                <w:rFonts w:ascii="Open Sans" w:hAnsi="Open Sans" w:cs="Open Sans"/>
                <w:sz w:val="20"/>
                <w:szCs w:val="20"/>
              </w:rPr>
              <w:t xml:space="preserve">jest </w:t>
            </w:r>
            <w:r w:rsidR="000C6040" w:rsidRPr="00F03164">
              <w:rPr>
                <w:rFonts w:ascii="Open Sans" w:hAnsi="Open Sans" w:cs="Open Sans"/>
                <w:sz w:val="20"/>
                <w:szCs w:val="20"/>
              </w:rPr>
              <w:t>bowiem zabezpieczenie potrzeb</w:t>
            </w:r>
            <w:r w:rsidRPr="00F03164">
              <w:rPr>
                <w:rFonts w:ascii="Open Sans" w:hAnsi="Open Sans" w:cs="Open Sans"/>
                <w:sz w:val="20"/>
                <w:szCs w:val="20"/>
              </w:rPr>
              <w:t xml:space="preserve"> </w:t>
            </w:r>
            <w:r w:rsidRPr="00F03164">
              <w:rPr>
                <w:rFonts w:ascii="Open Sans" w:hAnsi="Open Sans" w:cs="Open Sans"/>
                <w:sz w:val="20"/>
                <w:szCs w:val="20"/>
              </w:rPr>
              <w:lastRenderedPageBreak/>
              <w:t>zakładów przemysłowych. Przemysł energochłonny</w:t>
            </w:r>
            <w:r w:rsidR="000C6040" w:rsidRPr="00F03164">
              <w:rPr>
                <w:rFonts w:ascii="Open Sans" w:hAnsi="Open Sans" w:cs="Open Sans"/>
                <w:sz w:val="20"/>
                <w:szCs w:val="20"/>
              </w:rPr>
              <w:t>, z tytułu posiadania aktywów energetycznych</w:t>
            </w:r>
            <w:r w:rsidRPr="00F03164">
              <w:rPr>
                <w:rFonts w:ascii="Open Sans" w:hAnsi="Open Sans" w:cs="Open Sans"/>
                <w:sz w:val="20"/>
                <w:szCs w:val="20"/>
              </w:rPr>
              <w:t xml:space="preserve"> obecnie jest zaś i tak przygniatany obciążeniami regulacyjnymi, które generują coraz więcej kosztów po jego stronie. Nie jest zatem rozwiązaniem w opisywanym aspekcie – procedura odstępstwa (§ 15 ust. 2). Wymusza ona bowiem znów zaangażowanie proceduralne</w:t>
            </w:r>
            <w:r w:rsidR="0060317B" w:rsidRPr="00F03164">
              <w:rPr>
                <w:rFonts w:ascii="Open Sans" w:hAnsi="Open Sans" w:cs="Open Sans"/>
                <w:sz w:val="20"/>
                <w:szCs w:val="20"/>
              </w:rPr>
              <w:t xml:space="preserve"> przy nieznanym wyniku końcowym.</w:t>
            </w:r>
            <w:r w:rsidRPr="00F03164">
              <w:rPr>
                <w:rFonts w:ascii="Open Sans" w:hAnsi="Open Sans" w:cs="Open Sans"/>
                <w:sz w:val="20"/>
                <w:szCs w:val="20"/>
              </w:rPr>
              <w:t xml:space="preserve"> </w:t>
            </w:r>
          </w:p>
          <w:p w14:paraId="31EDC240" w14:textId="77777777" w:rsidR="0060317B" w:rsidRPr="00F03164" w:rsidRDefault="0060317B" w:rsidP="008B766F">
            <w:pPr>
              <w:jc w:val="both"/>
              <w:rPr>
                <w:rFonts w:ascii="Open Sans" w:hAnsi="Open Sans" w:cs="Open Sans"/>
                <w:sz w:val="20"/>
                <w:szCs w:val="20"/>
              </w:rPr>
            </w:pPr>
          </w:p>
          <w:p w14:paraId="551F6C58" w14:textId="1C1BA636" w:rsidR="00D11725" w:rsidRPr="00F03164" w:rsidRDefault="0060317B" w:rsidP="008B766F">
            <w:pPr>
              <w:jc w:val="both"/>
              <w:rPr>
                <w:rFonts w:ascii="Open Sans" w:hAnsi="Open Sans" w:cs="Open Sans"/>
                <w:sz w:val="20"/>
                <w:szCs w:val="20"/>
              </w:rPr>
            </w:pPr>
            <w:r w:rsidRPr="00F03164">
              <w:rPr>
                <w:rFonts w:ascii="Open Sans" w:hAnsi="Open Sans" w:cs="Open Sans"/>
                <w:sz w:val="20"/>
                <w:szCs w:val="20"/>
              </w:rPr>
              <w:t xml:space="preserve">Wprowadzanie nowych obciążeń powinno pozostawać zgodne z zasadą proporcjonalności. Nie powinna się ona zaś sprowadzać do tego, że łatwiej jest objąć obowiązkiem wszystkich niż zawrzeć adekwatne wyłączenia. </w:t>
            </w:r>
          </w:p>
          <w:p w14:paraId="473A40F5" w14:textId="38F510D3" w:rsidR="00D11725" w:rsidRPr="00F03164" w:rsidRDefault="00D11725" w:rsidP="008B766F">
            <w:pPr>
              <w:jc w:val="both"/>
              <w:rPr>
                <w:rFonts w:ascii="Open Sans" w:hAnsi="Open Sans" w:cs="Open Sans"/>
                <w:sz w:val="20"/>
                <w:szCs w:val="20"/>
              </w:rPr>
            </w:pPr>
          </w:p>
        </w:tc>
        <w:tc>
          <w:tcPr>
            <w:tcW w:w="4252" w:type="dxa"/>
          </w:tcPr>
          <w:p w14:paraId="4DE9FE5B" w14:textId="77777777" w:rsidR="00B0225B" w:rsidRPr="00F03164" w:rsidRDefault="00B0225B" w:rsidP="00B0225B">
            <w:pPr>
              <w:pStyle w:val="PKTpunkt"/>
              <w:spacing w:line="240" w:lineRule="auto"/>
              <w:rPr>
                <w:rFonts w:ascii="Open Sans" w:hAnsi="Open Sans" w:cs="Open Sans"/>
                <w:i/>
                <w:iCs/>
                <w:sz w:val="20"/>
              </w:rPr>
            </w:pPr>
            <w:r w:rsidRPr="00F03164">
              <w:rPr>
                <w:rFonts w:ascii="Open Sans" w:hAnsi="Open Sans" w:cs="Open Sans"/>
                <w:i/>
                <w:iCs/>
                <w:sz w:val="20"/>
              </w:rPr>
              <w:lastRenderedPageBreak/>
              <w:t>zasób regulacyjny – zasób będący:</w:t>
            </w:r>
          </w:p>
          <w:p w14:paraId="24CFBA35" w14:textId="77777777" w:rsidR="00B0225B" w:rsidRPr="00F03164" w:rsidRDefault="00B0225B" w:rsidP="00B0225B">
            <w:pPr>
              <w:pStyle w:val="LITlitera"/>
              <w:spacing w:line="240" w:lineRule="auto"/>
              <w:ind w:left="321" w:hanging="321"/>
              <w:rPr>
                <w:rFonts w:ascii="Open Sans" w:hAnsi="Open Sans" w:cs="Open Sans"/>
                <w:i/>
                <w:iCs/>
                <w:sz w:val="20"/>
              </w:rPr>
            </w:pPr>
            <w:r w:rsidRPr="00F03164">
              <w:rPr>
                <w:rFonts w:ascii="Open Sans" w:hAnsi="Open Sans" w:cs="Open Sans"/>
                <w:i/>
                <w:iCs/>
                <w:sz w:val="20"/>
              </w:rPr>
              <w:t>a)</w:t>
            </w:r>
            <w:r w:rsidRPr="00F03164">
              <w:rPr>
                <w:rFonts w:ascii="Open Sans" w:hAnsi="Open Sans" w:cs="Open Sans"/>
                <w:i/>
                <w:iCs/>
                <w:sz w:val="20"/>
              </w:rPr>
              <w:tab/>
              <w:t>jednostką wytwórczą centralnie dysponowaną, albo</w:t>
            </w:r>
          </w:p>
          <w:p w14:paraId="5027523A" w14:textId="77777777" w:rsidR="00B0225B" w:rsidRPr="00F03164" w:rsidRDefault="00B0225B" w:rsidP="00B0225B">
            <w:pPr>
              <w:pStyle w:val="LITlitera"/>
              <w:spacing w:line="240" w:lineRule="auto"/>
              <w:ind w:left="321" w:hanging="321"/>
              <w:rPr>
                <w:rFonts w:ascii="Open Sans" w:hAnsi="Open Sans" w:cs="Open Sans"/>
                <w:i/>
                <w:iCs/>
                <w:sz w:val="20"/>
              </w:rPr>
            </w:pPr>
            <w:r w:rsidRPr="00F03164">
              <w:rPr>
                <w:rFonts w:ascii="Open Sans" w:hAnsi="Open Sans" w:cs="Open Sans"/>
                <w:i/>
                <w:iCs/>
                <w:sz w:val="20"/>
              </w:rPr>
              <w:t>b)</w:t>
            </w:r>
            <w:r w:rsidRPr="00F03164">
              <w:rPr>
                <w:rFonts w:ascii="Open Sans" w:hAnsi="Open Sans" w:cs="Open Sans"/>
                <w:i/>
                <w:iCs/>
                <w:sz w:val="20"/>
              </w:rPr>
              <w:tab/>
              <w:t>jednostką wytwórczą centralnie koordynowaną, albo</w:t>
            </w:r>
          </w:p>
          <w:p w14:paraId="0F8A6625" w14:textId="1BB7FDBA" w:rsidR="00B0225B" w:rsidRPr="00F03164" w:rsidRDefault="00B0225B" w:rsidP="00B0225B">
            <w:pPr>
              <w:pStyle w:val="LITlitera"/>
              <w:spacing w:line="240" w:lineRule="auto"/>
              <w:ind w:left="321" w:hanging="321"/>
              <w:rPr>
                <w:rFonts w:ascii="Open Sans" w:hAnsi="Open Sans" w:cs="Open Sans"/>
                <w:i/>
                <w:iCs/>
                <w:sz w:val="20"/>
              </w:rPr>
            </w:pPr>
            <w:r w:rsidRPr="00F03164">
              <w:rPr>
                <w:rFonts w:ascii="Open Sans" w:hAnsi="Open Sans" w:cs="Open Sans"/>
                <w:i/>
                <w:iCs/>
                <w:sz w:val="20"/>
              </w:rPr>
              <w:t>c)</w:t>
            </w:r>
            <w:r w:rsidRPr="00F03164">
              <w:rPr>
                <w:rFonts w:ascii="Open Sans" w:hAnsi="Open Sans" w:cs="Open Sans"/>
                <w:i/>
                <w:iCs/>
                <w:sz w:val="20"/>
              </w:rPr>
              <w:tab/>
              <w:t xml:space="preserve">modułem wytwarzania energii, innym niż określony w lit. a i b, o mocy osiągalnej </w:t>
            </w:r>
            <w:r w:rsidR="008570F6" w:rsidRPr="00F03164">
              <w:rPr>
                <w:rFonts w:ascii="Open Sans" w:hAnsi="Open Sans" w:cs="Open Sans"/>
                <w:i/>
                <w:iCs/>
                <w:color w:val="EE0000"/>
                <w:sz w:val="20"/>
              </w:rPr>
              <w:t xml:space="preserve">oraz wprowadzania jej do sieci </w:t>
            </w:r>
            <w:r w:rsidRPr="00F03164">
              <w:rPr>
                <w:rFonts w:ascii="Open Sans" w:hAnsi="Open Sans" w:cs="Open Sans"/>
                <w:i/>
                <w:iCs/>
                <w:sz w:val="20"/>
              </w:rPr>
              <w:t>równej co najmniej 10 MW modułów wytwarzania energii, dla których warunki przyłączenia, albo</w:t>
            </w:r>
          </w:p>
          <w:p w14:paraId="4B7D6292" w14:textId="77777777" w:rsidR="00B0225B" w:rsidRPr="00F03164" w:rsidRDefault="00B0225B" w:rsidP="00B0225B">
            <w:pPr>
              <w:pStyle w:val="LITlitera"/>
              <w:spacing w:line="240" w:lineRule="auto"/>
              <w:ind w:left="321" w:hanging="321"/>
              <w:rPr>
                <w:rFonts w:ascii="Open Sans" w:hAnsi="Open Sans" w:cs="Open Sans"/>
                <w:i/>
                <w:iCs/>
                <w:sz w:val="20"/>
              </w:rPr>
            </w:pPr>
            <w:r w:rsidRPr="00F03164">
              <w:rPr>
                <w:rFonts w:ascii="Open Sans" w:hAnsi="Open Sans" w:cs="Open Sans"/>
                <w:i/>
                <w:iCs/>
                <w:sz w:val="20"/>
              </w:rPr>
              <w:t>d)</w:t>
            </w:r>
            <w:r w:rsidRPr="00F03164">
              <w:rPr>
                <w:rFonts w:ascii="Open Sans" w:hAnsi="Open Sans" w:cs="Open Sans"/>
                <w:i/>
                <w:iCs/>
                <w:sz w:val="20"/>
              </w:rPr>
              <w:tab/>
              <w:t>magazynem energii elektrycznej, o mocy magazynowania energii elektrycznej oraz wprowadzania jej do sieci równej co najmniej 10 MW, albo</w:t>
            </w:r>
          </w:p>
          <w:p w14:paraId="243B5FAB" w14:textId="77777777" w:rsidR="00B0225B" w:rsidRPr="00F03164" w:rsidRDefault="00B0225B" w:rsidP="00B0225B">
            <w:pPr>
              <w:pStyle w:val="LITlitera"/>
              <w:spacing w:line="240" w:lineRule="auto"/>
              <w:ind w:left="321" w:hanging="321"/>
              <w:rPr>
                <w:rFonts w:ascii="Open Sans" w:hAnsi="Open Sans" w:cs="Open Sans"/>
                <w:i/>
                <w:iCs/>
                <w:sz w:val="20"/>
              </w:rPr>
            </w:pPr>
            <w:r w:rsidRPr="00F03164">
              <w:rPr>
                <w:rFonts w:ascii="Open Sans" w:hAnsi="Open Sans" w:cs="Open Sans"/>
                <w:i/>
                <w:iCs/>
                <w:sz w:val="20"/>
              </w:rPr>
              <w:t>e)</w:t>
            </w:r>
            <w:r w:rsidRPr="00F03164">
              <w:rPr>
                <w:rFonts w:ascii="Open Sans" w:hAnsi="Open Sans" w:cs="Open Sans"/>
                <w:i/>
                <w:iCs/>
                <w:sz w:val="20"/>
              </w:rPr>
              <w:tab/>
              <w:t>modułem wytwarzania energii, innym niż określony w lit. a i b, o mocy osiągalnej równej co najmniej 0,2 MW i mniejszej niż 10 MW, który skorzystał z systemu wsparcia, o którym mowa w art. 69a ustawy z dnia 20 lutego 2015 r. o odnawialnych źródłach energii (Dz. U. z 2026 r. poz. 68 i 516), albo</w:t>
            </w:r>
          </w:p>
          <w:p w14:paraId="72530CAA" w14:textId="14D1FACA" w:rsidR="0090574C" w:rsidRPr="00F03164" w:rsidRDefault="00B0225B" w:rsidP="00B0225B">
            <w:pPr>
              <w:tabs>
                <w:tab w:val="left" w:pos="604"/>
              </w:tabs>
              <w:jc w:val="both"/>
              <w:rPr>
                <w:rFonts w:ascii="Open Sans" w:hAnsi="Open Sans" w:cs="Open Sans"/>
                <w:i/>
                <w:iCs/>
                <w:sz w:val="20"/>
                <w:szCs w:val="20"/>
              </w:rPr>
            </w:pPr>
            <w:r w:rsidRPr="00F03164">
              <w:rPr>
                <w:rFonts w:ascii="Open Sans" w:hAnsi="Open Sans" w:cs="Open Sans"/>
                <w:i/>
                <w:iCs/>
                <w:sz w:val="20"/>
                <w:szCs w:val="20"/>
              </w:rPr>
              <w:t>f)</w:t>
            </w:r>
            <w:r w:rsidRPr="00F03164">
              <w:rPr>
                <w:rFonts w:ascii="Open Sans" w:hAnsi="Open Sans" w:cs="Open Sans"/>
                <w:i/>
                <w:iCs/>
                <w:sz w:val="20"/>
                <w:szCs w:val="20"/>
              </w:rPr>
              <w:tab/>
              <w:t>magazynem energii elektrycznej, o mocy osiągalnej magazynowania energii elektrycznej albo wprowadzania jej do sieci równej co najmniej 0,2 MW i mniejszej niż 10 MW, który skorzystał z systemu wsparcia, o którym mowa w art. 69a ustawy z dnia 20 lutego 2015 r. o odnawialnych źródłach energii.</w:t>
            </w:r>
          </w:p>
        </w:tc>
        <w:tc>
          <w:tcPr>
            <w:tcW w:w="1428" w:type="dxa"/>
          </w:tcPr>
          <w:p w14:paraId="330A28F2" w14:textId="77777777" w:rsidR="0090574C" w:rsidRPr="009A57CE" w:rsidRDefault="0090574C" w:rsidP="008B766F">
            <w:pPr>
              <w:jc w:val="both"/>
              <w:rPr>
                <w:rFonts w:ascii="Open Sans" w:hAnsi="Open Sans" w:cs="Open Sans"/>
                <w:sz w:val="20"/>
                <w:szCs w:val="20"/>
              </w:rPr>
            </w:pPr>
          </w:p>
        </w:tc>
      </w:tr>
      <w:tr w:rsidR="0090574C" w:rsidRPr="009A57CE" w14:paraId="4AE66715" w14:textId="77777777" w:rsidTr="009B5AD6">
        <w:tc>
          <w:tcPr>
            <w:tcW w:w="562" w:type="dxa"/>
          </w:tcPr>
          <w:p w14:paraId="6AFC8947" w14:textId="6420194E" w:rsidR="0090574C" w:rsidRPr="009A57CE" w:rsidRDefault="0090574C" w:rsidP="008B766F">
            <w:pPr>
              <w:jc w:val="center"/>
              <w:rPr>
                <w:rFonts w:ascii="Open Sans" w:hAnsi="Open Sans" w:cs="Open Sans"/>
                <w:sz w:val="20"/>
                <w:szCs w:val="20"/>
              </w:rPr>
            </w:pPr>
            <w:r w:rsidRPr="009A57CE">
              <w:rPr>
                <w:rFonts w:ascii="Open Sans" w:hAnsi="Open Sans" w:cs="Open Sans"/>
                <w:sz w:val="20"/>
                <w:szCs w:val="20"/>
              </w:rPr>
              <w:t>2</w:t>
            </w:r>
          </w:p>
        </w:tc>
        <w:tc>
          <w:tcPr>
            <w:tcW w:w="1701" w:type="dxa"/>
          </w:tcPr>
          <w:p w14:paraId="752B4D6B" w14:textId="27B03AA0" w:rsidR="0090574C" w:rsidRPr="009A57CE" w:rsidRDefault="005666E9" w:rsidP="008B766F">
            <w:pPr>
              <w:jc w:val="both"/>
              <w:rPr>
                <w:rFonts w:ascii="Open Sans" w:hAnsi="Open Sans" w:cs="Open Sans"/>
                <w:sz w:val="20"/>
                <w:szCs w:val="20"/>
              </w:rPr>
            </w:pPr>
            <w:r w:rsidRPr="005666E9">
              <w:rPr>
                <w:rFonts w:ascii="Open Sans" w:hAnsi="Open Sans" w:cs="Open Sans"/>
                <w:sz w:val="20"/>
                <w:szCs w:val="20"/>
              </w:rPr>
              <w:t>Związek Pracodawców Polska Miedź</w:t>
            </w:r>
          </w:p>
        </w:tc>
        <w:tc>
          <w:tcPr>
            <w:tcW w:w="2694" w:type="dxa"/>
          </w:tcPr>
          <w:p w14:paraId="1945FFFA" w14:textId="0FC747FB" w:rsidR="0090574C" w:rsidRPr="009A57CE" w:rsidRDefault="00AF395E" w:rsidP="008B766F">
            <w:pPr>
              <w:jc w:val="both"/>
              <w:rPr>
                <w:rFonts w:ascii="Open Sans" w:hAnsi="Open Sans" w:cs="Open Sans"/>
                <w:sz w:val="20"/>
                <w:szCs w:val="20"/>
              </w:rPr>
            </w:pPr>
            <w:r>
              <w:rPr>
                <w:rFonts w:ascii="Open Sans" w:hAnsi="Open Sans" w:cs="Open Sans"/>
                <w:sz w:val="20"/>
                <w:szCs w:val="20"/>
              </w:rPr>
              <w:t xml:space="preserve">§ 4 </w:t>
            </w:r>
            <w:r w:rsidR="00BF0FD2">
              <w:rPr>
                <w:rFonts w:ascii="Open Sans" w:hAnsi="Open Sans" w:cs="Open Sans"/>
                <w:sz w:val="20"/>
                <w:szCs w:val="20"/>
              </w:rPr>
              <w:t>ust. 16 (</w:t>
            </w:r>
            <w:r w:rsidR="00F03164">
              <w:rPr>
                <w:rFonts w:ascii="Open Sans" w:hAnsi="Open Sans" w:cs="Open Sans"/>
                <w:sz w:val="20"/>
                <w:szCs w:val="20"/>
              </w:rPr>
              <w:t xml:space="preserve">propozycja dodania </w:t>
            </w:r>
            <w:r w:rsidR="00BF0FD2">
              <w:rPr>
                <w:rFonts w:ascii="Open Sans" w:hAnsi="Open Sans" w:cs="Open Sans"/>
                <w:sz w:val="20"/>
                <w:szCs w:val="20"/>
              </w:rPr>
              <w:t>now</w:t>
            </w:r>
            <w:r w:rsidR="00F03164">
              <w:rPr>
                <w:rFonts w:ascii="Open Sans" w:hAnsi="Open Sans" w:cs="Open Sans"/>
                <w:sz w:val="20"/>
                <w:szCs w:val="20"/>
              </w:rPr>
              <w:t>ego</w:t>
            </w:r>
            <w:r w:rsidR="00BF0FD2">
              <w:rPr>
                <w:rFonts w:ascii="Open Sans" w:hAnsi="Open Sans" w:cs="Open Sans"/>
                <w:sz w:val="20"/>
                <w:szCs w:val="20"/>
              </w:rPr>
              <w:t xml:space="preserve"> przepis</w:t>
            </w:r>
            <w:r w:rsidR="00F03164">
              <w:rPr>
                <w:rFonts w:ascii="Open Sans" w:hAnsi="Open Sans" w:cs="Open Sans"/>
                <w:sz w:val="20"/>
                <w:szCs w:val="20"/>
              </w:rPr>
              <w:t>u</w:t>
            </w:r>
            <w:r w:rsidR="00BF0FD2">
              <w:rPr>
                <w:rFonts w:ascii="Open Sans" w:hAnsi="Open Sans" w:cs="Open Sans"/>
                <w:sz w:val="20"/>
                <w:szCs w:val="20"/>
              </w:rPr>
              <w:t>)</w:t>
            </w:r>
          </w:p>
        </w:tc>
        <w:tc>
          <w:tcPr>
            <w:tcW w:w="5103" w:type="dxa"/>
          </w:tcPr>
          <w:p w14:paraId="1BD4B1F8" w14:textId="5F16B9F1" w:rsidR="00AF395E" w:rsidRPr="00F03164" w:rsidRDefault="00AF395E" w:rsidP="00AF395E">
            <w:pPr>
              <w:jc w:val="both"/>
              <w:rPr>
                <w:rFonts w:ascii="Open Sans" w:hAnsi="Open Sans" w:cs="Open Sans"/>
                <w:sz w:val="20"/>
                <w:szCs w:val="20"/>
              </w:rPr>
            </w:pPr>
            <w:r w:rsidRPr="00F03164">
              <w:rPr>
                <w:rFonts w:ascii="Open Sans" w:hAnsi="Open Sans" w:cs="Open Sans"/>
                <w:sz w:val="20"/>
                <w:szCs w:val="20"/>
              </w:rPr>
              <w:t>W obecnym stanie prawnym</w:t>
            </w:r>
            <w:r w:rsidR="00F4161F" w:rsidRPr="00F03164">
              <w:rPr>
                <w:rFonts w:ascii="Open Sans" w:hAnsi="Open Sans" w:cs="Open Sans"/>
                <w:sz w:val="20"/>
                <w:szCs w:val="20"/>
              </w:rPr>
              <w:t>, od wielu lat,</w:t>
            </w:r>
            <w:r w:rsidRPr="00F03164">
              <w:rPr>
                <w:rFonts w:ascii="Open Sans" w:hAnsi="Open Sans" w:cs="Open Sans"/>
                <w:sz w:val="20"/>
                <w:szCs w:val="20"/>
              </w:rPr>
              <w:t xml:space="preserve"> nie są jasne zasady </w:t>
            </w:r>
            <w:r w:rsidR="00F4161F" w:rsidRPr="00F03164">
              <w:rPr>
                <w:rFonts w:ascii="Open Sans" w:hAnsi="Open Sans" w:cs="Open Sans"/>
                <w:sz w:val="20"/>
                <w:szCs w:val="20"/>
              </w:rPr>
              <w:t>określania</w:t>
            </w:r>
            <w:r w:rsidRPr="00F03164">
              <w:rPr>
                <w:rFonts w:ascii="Open Sans" w:hAnsi="Open Sans" w:cs="Open Sans"/>
                <w:sz w:val="20"/>
                <w:szCs w:val="20"/>
              </w:rPr>
              <w:t xml:space="preserve"> warunków przyłączenia </w:t>
            </w:r>
            <w:r w:rsidR="00F4161F" w:rsidRPr="00F03164">
              <w:rPr>
                <w:rFonts w:ascii="Open Sans" w:hAnsi="Open Sans" w:cs="Open Sans"/>
                <w:sz w:val="20"/>
                <w:szCs w:val="20"/>
              </w:rPr>
              <w:t xml:space="preserve">dla </w:t>
            </w:r>
            <w:r w:rsidRPr="00F03164">
              <w:rPr>
                <w:rFonts w:ascii="Open Sans" w:hAnsi="Open Sans" w:cs="Open Sans"/>
                <w:sz w:val="20"/>
                <w:szCs w:val="20"/>
              </w:rPr>
              <w:t xml:space="preserve">źródeł energii (np. OZE) czy magazynów energii – </w:t>
            </w:r>
            <w:r w:rsidRPr="00C11D6A">
              <w:rPr>
                <w:rFonts w:ascii="Open Sans" w:hAnsi="Open Sans" w:cs="Open Sans"/>
                <w:b/>
                <w:bCs/>
                <w:sz w:val="20"/>
                <w:szCs w:val="20"/>
              </w:rPr>
              <w:t xml:space="preserve">w przypadku gdy OSD zamierza takie instalacje przyłączyć do </w:t>
            </w:r>
            <w:r w:rsidRPr="00C11D6A">
              <w:rPr>
                <w:rFonts w:ascii="Open Sans" w:hAnsi="Open Sans" w:cs="Open Sans"/>
                <w:b/>
                <w:bCs/>
                <w:sz w:val="20"/>
                <w:szCs w:val="20"/>
                <w:u w:val="single"/>
              </w:rPr>
              <w:t>swojej</w:t>
            </w:r>
            <w:r w:rsidRPr="00C11D6A">
              <w:rPr>
                <w:rFonts w:ascii="Open Sans" w:hAnsi="Open Sans" w:cs="Open Sans"/>
                <w:b/>
                <w:bCs/>
                <w:sz w:val="20"/>
                <w:szCs w:val="20"/>
              </w:rPr>
              <w:t xml:space="preserve"> sieci dystrybucyjnej</w:t>
            </w:r>
            <w:r w:rsidR="00F4161F" w:rsidRPr="00F03164">
              <w:rPr>
                <w:rFonts w:ascii="Open Sans" w:hAnsi="Open Sans" w:cs="Open Sans"/>
                <w:sz w:val="20"/>
                <w:szCs w:val="20"/>
              </w:rPr>
              <w:t xml:space="preserve"> (tj. w sytuacji gdy OSD jest zarówno operatorem sieci jak i np. źródła).</w:t>
            </w:r>
          </w:p>
          <w:p w14:paraId="49BC3788" w14:textId="77777777" w:rsidR="00AF395E" w:rsidRPr="00F03164" w:rsidRDefault="00AF395E" w:rsidP="00AF395E">
            <w:pPr>
              <w:jc w:val="both"/>
              <w:rPr>
                <w:rFonts w:ascii="Open Sans" w:hAnsi="Open Sans" w:cs="Open Sans"/>
                <w:sz w:val="20"/>
                <w:szCs w:val="20"/>
              </w:rPr>
            </w:pPr>
          </w:p>
          <w:p w14:paraId="54AB3E56" w14:textId="77777777" w:rsidR="00AF395E" w:rsidRPr="00F03164" w:rsidRDefault="00AF395E" w:rsidP="00AF395E">
            <w:pPr>
              <w:jc w:val="both"/>
              <w:rPr>
                <w:rFonts w:ascii="Open Sans" w:hAnsi="Open Sans" w:cs="Open Sans"/>
                <w:sz w:val="20"/>
                <w:szCs w:val="20"/>
              </w:rPr>
            </w:pPr>
            <w:r w:rsidRPr="00F03164">
              <w:rPr>
                <w:rFonts w:ascii="Open Sans" w:hAnsi="Open Sans" w:cs="Open Sans"/>
                <w:sz w:val="20"/>
                <w:szCs w:val="20"/>
              </w:rPr>
              <w:t xml:space="preserve">Powstaje wątpliwość, czy OSD powinien sam sobie wystawić warunki przyłączenia, czy też wnioskować o ich wydanie do operatora wyższego rzędu, do którego sieci przyłączony jest taki OSD. Ta druga możliwość jest jednak operacyjnie nieracjonalna. </w:t>
            </w:r>
          </w:p>
          <w:p w14:paraId="48835297" w14:textId="77777777" w:rsidR="00AF395E" w:rsidRPr="00F03164" w:rsidRDefault="00AF395E" w:rsidP="00AF395E">
            <w:pPr>
              <w:jc w:val="both"/>
              <w:rPr>
                <w:rFonts w:ascii="Open Sans" w:hAnsi="Open Sans" w:cs="Open Sans"/>
                <w:sz w:val="20"/>
                <w:szCs w:val="20"/>
              </w:rPr>
            </w:pPr>
          </w:p>
          <w:p w14:paraId="71045387" w14:textId="179D2549" w:rsidR="00AF395E" w:rsidRPr="00F03164" w:rsidRDefault="00AF395E" w:rsidP="00AF395E">
            <w:pPr>
              <w:jc w:val="both"/>
              <w:rPr>
                <w:rFonts w:ascii="Open Sans" w:hAnsi="Open Sans" w:cs="Open Sans"/>
                <w:sz w:val="20"/>
                <w:szCs w:val="20"/>
              </w:rPr>
            </w:pPr>
            <w:r w:rsidRPr="00F03164">
              <w:rPr>
                <w:rFonts w:ascii="Open Sans" w:hAnsi="Open Sans" w:cs="Open Sans"/>
                <w:sz w:val="20"/>
                <w:szCs w:val="20"/>
              </w:rPr>
              <w:t xml:space="preserve">Po pierwsze, angażuje dodatkowo operatora nadrzędnego (OSDp), który musi procedować taki wniosek (co powoduje znaczące wydłużenie procesu przyłączeniowego – w sytuacji gdy poszukiwane są wszelkie sposoby na skracanie procedur przyłączeniowych). Po drugie, nawet jeśli </w:t>
            </w:r>
            <w:r w:rsidRPr="00F03164">
              <w:rPr>
                <w:rFonts w:ascii="Open Sans" w:hAnsi="Open Sans" w:cs="Open Sans"/>
                <w:sz w:val="20"/>
                <w:szCs w:val="20"/>
              </w:rPr>
              <w:lastRenderedPageBreak/>
              <w:t>przykładowo przyłączenie OZE do sieci OSDn odbywa się na poziomie średniego napięcia, a sieć OSDn przyłączona jest do sieci OSDp na poziomie wysokiego napięcia – OSDp będzie kwalifikował przyłączenie jako następujące na poziomie wysokiego napięcia – co w sposób nieuzasadniony technicznie podnosi wymogi dla takiego przyłączenia (m.in. implikacje związane z kwalifikacją źródeł przyłączanych w takich warunkach jako moduł wytwarzania D, nawet w przypadku mikro czy małej instalacji). Po trzecie, generuje to niejasność co do relacji międzyoperatorskich. Operator nadrzędny będzie bowiem kwalifikował OSDn jako operatora w przypadku gdy do sieci OSDn źródło energii przyłącza zewnętrzny podmiot. W przypadku gdy OSDn do swojej sieci będzie przyłączał takie samo źródło (ale własne) – będzie już kwalifikowany w tej relacji jako wytwórca, tj. jakby OSDn nie dysponował zarządzaną przez siebie siecią.</w:t>
            </w:r>
          </w:p>
          <w:p w14:paraId="4E0558BB" w14:textId="77777777" w:rsidR="00AF395E" w:rsidRPr="00F03164" w:rsidRDefault="00AF395E" w:rsidP="00AF395E">
            <w:pPr>
              <w:jc w:val="both"/>
              <w:rPr>
                <w:rFonts w:ascii="Open Sans" w:hAnsi="Open Sans" w:cs="Open Sans"/>
                <w:sz w:val="20"/>
                <w:szCs w:val="20"/>
              </w:rPr>
            </w:pPr>
          </w:p>
          <w:p w14:paraId="3E29CCFC" w14:textId="77777777" w:rsidR="00AF395E" w:rsidRPr="00F03164" w:rsidRDefault="00AF395E" w:rsidP="00AF395E">
            <w:pPr>
              <w:jc w:val="both"/>
              <w:rPr>
                <w:rFonts w:ascii="Open Sans" w:hAnsi="Open Sans" w:cs="Open Sans"/>
                <w:sz w:val="20"/>
                <w:szCs w:val="20"/>
              </w:rPr>
            </w:pPr>
            <w:r w:rsidRPr="00F03164">
              <w:rPr>
                <w:rFonts w:ascii="Open Sans" w:hAnsi="Open Sans" w:cs="Open Sans"/>
                <w:sz w:val="20"/>
                <w:szCs w:val="20"/>
              </w:rPr>
              <w:t>Opisane sytuacje występują coraz częściej w obszarze zakładów przemysłowych – rodząc spory interpretacyjne operatorami nadrzędnymi. Na terenie tych zakładów funkcjonuje sieć, do której właściciel sieci przyłącza swoje źródła – co pozwala zoptymalizować procesy związane z kosztami pozyskania energii (niezbędne dla przetrwania w Polsce przemysłu energochłonnego). W takich przypadkach nie jest zawierana umowa przyłączeniowa – gdyż OSD i wytwórca to ten sam podmiot. Od strony procesu przyłączeniowego wskazane jest jednak uregulowanie takich przyłączeń – w zakresie technicznym. Temu służą zaś warunki techniczne.</w:t>
            </w:r>
          </w:p>
          <w:p w14:paraId="2D79E846" w14:textId="77777777" w:rsidR="0090574C" w:rsidRPr="00F03164" w:rsidRDefault="0090574C" w:rsidP="008B766F">
            <w:pPr>
              <w:jc w:val="both"/>
              <w:rPr>
                <w:rFonts w:ascii="Open Sans" w:hAnsi="Open Sans" w:cs="Open Sans"/>
                <w:sz w:val="20"/>
                <w:szCs w:val="20"/>
              </w:rPr>
            </w:pPr>
          </w:p>
        </w:tc>
        <w:tc>
          <w:tcPr>
            <w:tcW w:w="4252" w:type="dxa"/>
          </w:tcPr>
          <w:p w14:paraId="38D07FBA" w14:textId="60D06439" w:rsidR="0090574C" w:rsidRPr="00F03164" w:rsidRDefault="00BF0FD2" w:rsidP="008B766F">
            <w:pPr>
              <w:jc w:val="both"/>
              <w:rPr>
                <w:rFonts w:ascii="Open Sans" w:hAnsi="Open Sans" w:cs="Open Sans"/>
                <w:sz w:val="20"/>
                <w:szCs w:val="20"/>
              </w:rPr>
            </w:pPr>
            <w:r w:rsidRPr="00F03164">
              <w:rPr>
                <w:rFonts w:ascii="Open Sans" w:hAnsi="Open Sans" w:cs="Open Sans"/>
                <w:i/>
                <w:iCs/>
                <w:color w:val="EE0000"/>
                <w:sz w:val="20"/>
                <w:szCs w:val="20"/>
              </w:rPr>
              <w:lastRenderedPageBreak/>
              <w:t>W przypadku gdy przedsiębiorstwo energetyczne zajmujące się dystrybucją energii elektrycznej, o którym mowa w art. 9d ust. 7 ustawy, zamierza przyłączyć do swojej sieci dystrybucyjnej źródło energii lub magazyn energii, przepisy ust. 1-15 stosuje się odpowiednio.</w:t>
            </w:r>
          </w:p>
        </w:tc>
        <w:tc>
          <w:tcPr>
            <w:tcW w:w="1428" w:type="dxa"/>
          </w:tcPr>
          <w:p w14:paraId="31C0C230" w14:textId="77777777" w:rsidR="0090574C" w:rsidRPr="009A57CE" w:rsidRDefault="0090574C" w:rsidP="008B766F">
            <w:pPr>
              <w:jc w:val="both"/>
              <w:rPr>
                <w:rFonts w:ascii="Open Sans" w:hAnsi="Open Sans" w:cs="Open Sans"/>
                <w:sz w:val="20"/>
                <w:szCs w:val="20"/>
              </w:rPr>
            </w:pPr>
          </w:p>
        </w:tc>
      </w:tr>
      <w:tr w:rsidR="0090574C" w:rsidRPr="009A57CE" w14:paraId="574FF95B" w14:textId="77777777" w:rsidTr="009B5AD6">
        <w:tc>
          <w:tcPr>
            <w:tcW w:w="562" w:type="dxa"/>
          </w:tcPr>
          <w:p w14:paraId="590D690B" w14:textId="321DEEE7" w:rsidR="0090574C" w:rsidRPr="009A57CE" w:rsidRDefault="0090574C" w:rsidP="008B766F">
            <w:pPr>
              <w:jc w:val="center"/>
              <w:rPr>
                <w:rFonts w:ascii="Open Sans" w:hAnsi="Open Sans" w:cs="Open Sans"/>
                <w:sz w:val="20"/>
                <w:szCs w:val="20"/>
              </w:rPr>
            </w:pPr>
            <w:r w:rsidRPr="009A57CE">
              <w:rPr>
                <w:rFonts w:ascii="Open Sans" w:hAnsi="Open Sans" w:cs="Open Sans"/>
                <w:sz w:val="20"/>
                <w:szCs w:val="20"/>
              </w:rPr>
              <w:lastRenderedPageBreak/>
              <w:t>3</w:t>
            </w:r>
          </w:p>
        </w:tc>
        <w:tc>
          <w:tcPr>
            <w:tcW w:w="1701" w:type="dxa"/>
          </w:tcPr>
          <w:p w14:paraId="7283C367" w14:textId="6E5C5E9D" w:rsidR="0090574C" w:rsidRPr="009A57CE" w:rsidRDefault="005666E9" w:rsidP="008B766F">
            <w:pPr>
              <w:jc w:val="both"/>
              <w:rPr>
                <w:rFonts w:ascii="Open Sans" w:hAnsi="Open Sans" w:cs="Open Sans"/>
                <w:sz w:val="20"/>
                <w:szCs w:val="20"/>
              </w:rPr>
            </w:pPr>
            <w:r w:rsidRPr="005666E9">
              <w:rPr>
                <w:rFonts w:ascii="Open Sans" w:hAnsi="Open Sans" w:cs="Open Sans"/>
                <w:sz w:val="20"/>
                <w:szCs w:val="20"/>
              </w:rPr>
              <w:t>Związek Pracodawców Polska Miedź</w:t>
            </w:r>
          </w:p>
        </w:tc>
        <w:tc>
          <w:tcPr>
            <w:tcW w:w="2694" w:type="dxa"/>
          </w:tcPr>
          <w:p w14:paraId="43EC42A6" w14:textId="21E74732" w:rsidR="0090574C" w:rsidRPr="009A57CE" w:rsidRDefault="00827BDC" w:rsidP="008B766F">
            <w:pPr>
              <w:jc w:val="both"/>
              <w:rPr>
                <w:rFonts w:ascii="Open Sans" w:hAnsi="Open Sans" w:cs="Open Sans"/>
                <w:sz w:val="20"/>
                <w:szCs w:val="20"/>
              </w:rPr>
            </w:pPr>
            <w:r>
              <w:rPr>
                <w:rFonts w:ascii="Open Sans" w:hAnsi="Open Sans" w:cs="Open Sans"/>
                <w:sz w:val="20"/>
                <w:szCs w:val="20"/>
              </w:rPr>
              <w:t>§ 14</w:t>
            </w:r>
            <w:r w:rsidR="00C5636C">
              <w:rPr>
                <w:rFonts w:ascii="Open Sans" w:hAnsi="Open Sans" w:cs="Open Sans"/>
                <w:sz w:val="20"/>
                <w:szCs w:val="20"/>
              </w:rPr>
              <w:t xml:space="preserve"> ust. 5 </w:t>
            </w:r>
            <w:r w:rsidR="00C11D6A">
              <w:rPr>
                <w:rFonts w:ascii="Open Sans" w:hAnsi="Open Sans" w:cs="Open Sans"/>
                <w:sz w:val="20"/>
                <w:szCs w:val="20"/>
              </w:rPr>
              <w:t>(propozycja dodania nowego przepisu)</w:t>
            </w:r>
            <w:r w:rsidR="00C5636C">
              <w:rPr>
                <w:rFonts w:ascii="Open Sans" w:hAnsi="Open Sans" w:cs="Open Sans"/>
                <w:sz w:val="20"/>
                <w:szCs w:val="20"/>
              </w:rPr>
              <w:t>.</w:t>
            </w:r>
          </w:p>
        </w:tc>
        <w:tc>
          <w:tcPr>
            <w:tcW w:w="5103" w:type="dxa"/>
          </w:tcPr>
          <w:p w14:paraId="3F4F2B65" w14:textId="2D6B76EE" w:rsidR="0090574C" w:rsidRPr="00F03164" w:rsidRDefault="009139C5" w:rsidP="008B766F">
            <w:pPr>
              <w:jc w:val="both"/>
              <w:rPr>
                <w:rFonts w:ascii="Open Sans" w:hAnsi="Open Sans" w:cs="Open Sans"/>
                <w:sz w:val="20"/>
                <w:szCs w:val="20"/>
              </w:rPr>
            </w:pPr>
            <w:r w:rsidRPr="00F03164">
              <w:rPr>
                <w:rFonts w:ascii="Open Sans" w:hAnsi="Open Sans" w:cs="Open Sans"/>
                <w:sz w:val="20"/>
                <w:szCs w:val="20"/>
              </w:rPr>
              <w:t xml:space="preserve">Analogiczne regulacje do zawartej w §14 niniejszego projektu została dodana także do obecnie obowiązującego rozporządzenia systemowego (§ 13a). </w:t>
            </w:r>
            <w:r w:rsidR="007F1E23" w:rsidRPr="00F03164">
              <w:rPr>
                <w:rFonts w:ascii="Open Sans" w:hAnsi="Open Sans" w:cs="Open Sans"/>
                <w:sz w:val="20"/>
                <w:szCs w:val="20"/>
              </w:rPr>
              <w:t>Wprowadzenie p</w:t>
            </w:r>
            <w:r w:rsidRPr="00F03164">
              <w:rPr>
                <w:rFonts w:ascii="Open Sans" w:hAnsi="Open Sans" w:cs="Open Sans"/>
                <w:sz w:val="20"/>
                <w:szCs w:val="20"/>
              </w:rPr>
              <w:t>rzedmiotow</w:t>
            </w:r>
            <w:r w:rsidR="007F1E23" w:rsidRPr="00F03164">
              <w:rPr>
                <w:rFonts w:ascii="Open Sans" w:hAnsi="Open Sans" w:cs="Open Sans"/>
                <w:sz w:val="20"/>
                <w:szCs w:val="20"/>
              </w:rPr>
              <w:t>ego</w:t>
            </w:r>
            <w:r w:rsidRPr="00F03164">
              <w:rPr>
                <w:rFonts w:ascii="Open Sans" w:hAnsi="Open Sans" w:cs="Open Sans"/>
                <w:sz w:val="20"/>
                <w:szCs w:val="20"/>
              </w:rPr>
              <w:t xml:space="preserve"> przepis</w:t>
            </w:r>
            <w:r w:rsidR="007F1E23" w:rsidRPr="00F03164">
              <w:rPr>
                <w:rFonts w:ascii="Open Sans" w:hAnsi="Open Sans" w:cs="Open Sans"/>
                <w:sz w:val="20"/>
                <w:szCs w:val="20"/>
              </w:rPr>
              <w:t>u</w:t>
            </w:r>
            <w:r w:rsidRPr="00F03164">
              <w:rPr>
                <w:rFonts w:ascii="Open Sans" w:hAnsi="Open Sans" w:cs="Open Sans"/>
                <w:sz w:val="20"/>
                <w:szCs w:val="20"/>
              </w:rPr>
              <w:t xml:space="preserve"> nie został</w:t>
            </w:r>
            <w:r w:rsidR="007F1E23" w:rsidRPr="00F03164">
              <w:rPr>
                <w:rFonts w:ascii="Open Sans" w:hAnsi="Open Sans" w:cs="Open Sans"/>
                <w:sz w:val="20"/>
                <w:szCs w:val="20"/>
              </w:rPr>
              <w:t>o</w:t>
            </w:r>
            <w:r w:rsidRPr="00F03164">
              <w:rPr>
                <w:rFonts w:ascii="Open Sans" w:hAnsi="Open Sans" w:cs="Open Sans"/>
                <w:sz w:val="20"/>
                <w:szCs w:val="20"/>
              </w:rPr>
              <w:t xml:space="preserve"> poddany żadnym konsultacjom publicznym</w:t>
            </w:r>
            <w:r w:rsidR="007F1E23" w:rsidRPr="00F03164">
              <w:rPr>
                <w:rFonts w:ascii="Open Sans" w:hAnsi="Open Sans" w:cs="Open Sans"/>
                <w:sz w:val="20"/>
                <w:szCs w:val="20"/>
              </w:rPr>
              <w:t xml:space="preserve"> (przepisu nie było w pierwotnej wersji projektu nowelizacji rozporządzenia)</w:t>
            </w:r>
            <w:r w:rsidRPr="00F03164">
              <w:rPr>
                <w:rFonts w:ascii="Open Sans" w:hAnsi="Open Sans" w:cs="Open Sans"/>
                <w:sz w:val="20"/>
                <w:szCs w:val="20"/>
              </w:rPr>
              <w:t>, tymczasem ma on istotne znaczenie dla wielu zakładów przemysłowych.</w:t>
            </w:r>
          </w:p>
          <w:p w14:paraId="5A928B72" w14:textId="77777777" w:rsidR="009139C5" w:rsidRPr="00F03164" w:rsidRDefault="009139C5" w:rsidP="008B766F">
            <w:pPr>
              <w:jc w:val="both"/>
              <w:rPr>
                <w:rFonts w:ascii="Open Sans" w:hAnsi="Open Sans" w:cs="Open Sans"/>
                <w:sz w:val="20"/>
                <w:szCs w:val="20"/>
              </w:rPr>
            </w:pPr>
          </w:p>
          <w:p w14:paraId="6A3558BD" w14:textId="3301DC1A" w:rsidR="009139C5" w:rsidRPr="00F03164" w:rsidRDefault="009139C5" w:rsidP="008B766F">
            <w:pPr>
              <w:jc w:val="both"/>
              <w:rPr>
                <w:rFonts w:ascii="Open Sans" w:hAnsi="Open Sans" w:cs="Open Sans"/>
                <w:sz w:val="20"/>
                <w:szCs w:val="20"/>
              </w:rPr>
            </w:pPr>
            <w:r w:rsidRPr="00F03164">
              <w:rPr>
                <w:rFonts w:ascii="Open Sans" w:hAnsi="Open Sans" w:cs="Open Sans"/>
                <w:sz w:val="20"/>
                <w:szCs w:val="20"/>
              </w:rPr>
              <w:t xml:space="preserve">Dodana regulacja, jest kolejnym przykładem braku uwzględnienia specyfiki przemysłowych operatorów systemów dystrybucyjnych, którzy traktowani są na równi z największymi operatorami. Taka praktyka regulacyjna jest niezwykle szkodliwa. Obserwujemy </w:t>
            </w:r>
            <w:r w:rsidR="007F1E23" w:rsidRPr="00F03164">
              <w:rPr>
                <w:rFonts w:ascii="Open Sans" w:hAnsi="Open Sans" w:cs="Open Sans"/>
                <w:sz w:val="20"/>
                <w:szCs w:val="20"/>
              </w:rPr>
              <w:t xml:space="preserve">notoryczne </w:t>
            </w:r>
            <w:r w:rsidRPr="00F03164">
              <w:rPr>
                <w:rFonts w:ascii="Open Sans" w:hAnsi="Open Sans" w:cs="Open Sans"/>
                <w:sz w:val="20"/>
                <w:szCs w:val="20"/>
              </w:rPr>
              <w:t>umniejszanie znaczenia problemów przemysłowych operatorów</w:t>
            </w:r>
            <w:r w:rsidR="00912B41" w:rsidRPr="00F03164">
              <w:rPr>
                <w:rFonts w:ascii="Open Sans" w:hAnsi="Open Sans" w:cs="Open Sans"/>
                <w:sz w:val="20"/>
                <w:szCs w:val="20"/>
              </w:rPr>
              <w:t>.</w:t>
            </w:r>
            <w:r w:rsidRPr="00F03164">
              <w:rPr>
                <w:rFonts w:ascii="Open Sans" w:hAnsi="Open Sans" w:cs="Open Sans"/>
                <w:sz w:val="20"/>
                <w:szCs w:val="20"/>
              </w:rPr>
              <w:t xml:space="preserve"> </w:t>
            </w:r>
            <w:r w:rsidR="00912B41" w:rsidRPr="00F03164">
              <w:rPr>
                <w:rFonts w:ascii="Open Sans" w:hAnsi="Open Sans" w:cs="Open Sans"/>
                <w:sz w:val="20"/>
                <w:szCs w:val="20"/>
              </w:rPr>
              <w:t>Z</w:t>
            </w:r>
            <w:r w:rsidRPr="00F03164">
              <w:rPr>
                <w:rFonts w:ascii="Open Sans" w:hAnsi="Open Sans" w:cs="Open Sans"/>
                <w:sz w:val="20"/>
                <w:szCs w:val="20"/>
              </w:rPr>
              <w:t xml:space="preserve"> uwagi na niewielkie </w:t>
            </w:r>
            <w:r w:rsidR="00912B41" w:rsidRPr="00F03164">
              <w:rPr>
                <w:rFonts w:ascii="Open Sans" w:hAnsi="Open Sans" w:cs="Open Sans"/>
                <w:sz w:val="20"/>
                <w:szCs w:val="20"/>
              </w:rPr>
              <w:t>z</w:t>
            </w:r>
            <w:r w:rsidRPr="00F03164">
              <w:rPr>
                <w:rFonts w:ascii="Open Sans" w:hAnsi="Open Sans" w:cs="Open Sans"/>
                <w:sz w:val="20"/>
                <w:szCs w:val="20"/>
              </w:rPr>
              <w:t xml:space="preserve">naczenie ich działalności dla </w:t>
            </w:r>
            <w:r w:rsidR="00912B41" w:rsidRPr="00F03164">
              <w:rPr>
                <w:rFonts w:ascii="Open Sans" w:hAnsi="Open Sans" w:cs="Open Sans"/>
                <w:sz w:val="20"/>
                <w:szCs w:val="20"/>
              </w:rPr>
              <w:t xml:space="preserve">całego </w:t>
            </w:r>
            <w:r w:rsidRPr="00F03164">
              <w:rPr>
                <w:rFonts w:ascii="Open Sans" w:hAnsi="Open Sans" w:cs="Open Sans"/>
                <w:sz w:val="20"/>
                <w:szCs w:val="20"/>
              </w:rPr>
              <w:t>systemu elektroenergetycznego</w:t>
            </w:r>
            <w:r w:rsidR="00912B41" w:rsidRPr="00F03164">
              <w:rPr>
                <w:rFonts w:ascii="Open Sans" w:hAnsi="Open Sans" w:cs="Open Sans"/>
                <w:sz w:val="20"/>
                <w:szCs w:val="20"/>
              </w:rPr>
              <w:t xml:space="preserve"> – ich specyfika nie jest szczegółowo analizowana pod kątem skutków wprowadzanych regulacji.</w:t>
            </w:r>
            <w:r w:rsidR="007F1E23" w:rsidRPr="00F03164">
              <w:rPr>
                <w:rFonts w:ascii="Open Sans" w:hAnsi="Open Sans" w:cs="Open Sans"/>
                <w:sz w:val="20"/>
                <w:szCs w:val="20"/>
              </w:rPr>
              <w:t xml:space="preserve"> Odnosimy wrażenie, że projektowane przepisy są oceniane przede wszystkim obszarowo (w zakresie wpływu na rynek energii elektrycznej), a nie holistycznie. Często nie jest brany pod uwagę wymiar finansowy i organizacyjny projektowanych przepisów dla </w:t>
            </w:r>
            <w:r w:rsidR="00FA5C3C" w:rsidRPr="00F03164">
              <w:rPr>
                <w:rFonts w:ascii="Open Sans" w:hAnsi="Open Sans" w:cs="Open Sans"/>
                <w:sz w:val="20"/>
                <w:szCs w:val="20"/>
              </w:rPr>
              <w:t>sektora przemysłowego, mimo iż jest on też podmiotem, którego działalność jest regulowana projektowanymi przepisami.</w:t>
            </w:r>
            <w:r w:rsidR="00912B41" w:rsidRPr="00F03164">
              <w:rPr>
                <w:rFonts w:ascii="Open Sans" w:hAnsi="Open Sans" w:cs="Open Sans"/>
                <w:sz w:val="20"/>
                <w:szCs w:val="20"/>
              </w:rPr>
              <w:t xml:space="preserve"> W konsekwencji wprowadzanych jest wiele przepisów, które są nieadekwatne do skali działalności przemysłowych operatorów, generujących po ich stron</w:t>
            </w:r>
            <w:r w:rsidR="00FA5C3C" w:rsidRPr="00F03164">
              <w:rPr>
                <w:rFonts w:ascii="Open Sans" w:hAnsi="Open Sans" w:cs="Open Sans"/>
                <w:sz w:val="20"/>
                <w:szCs w:val="20"/>
              </w:rPr>
              <w:t>ie</w:t>
            </w:r>
            <w:r w:rsidR="00912B41" w:rsidRPr="00F03164">
              <w:rPr>
                <w:rFonts w:ascii="Open Sans" w:hAnsi="Open Sans" w:cs="Open Sans"/>
                <w:sz w:val="20"/>
                <w:szCs w:val="20"/>
              </w:rPr>
              <w:t xml:space="preserve"> koszty. To wszystko w sytuacji walki krajowego przemysłu energochłonnego o utrzymanie konkurencyjności</w:t>
            </w:r>
            <w:r w:rsidR="00FA5C3C" w:rsidRPr="00F03164">
              <w:rPr>
                <w:rFonts w:ascii="Open Sans" w:hAnsi="Open Sans" w:cs="Open Sans"/>
                <w:sz w:val="20"/>
                <w:szCs w:val="20"/>
              </w:rPr>
              <w:t xml:space="preserve"> na każdym polu</w:t>
            </w:r>
            <w:r w:rsidR="00912B41" w:rsidRPr="00F03164">
              <w:rPr>
                <w:rFonts w:ascii="Open Sans" w:hAnsi="Open Sans" w:cs="Open Sans"/>
                <w:sz w:val="20"/>
                <w:szCs w:val="20"/>
              </w:rPr>
              <w:t>.</w:t>
            </w:r>
            <w:r w:rsidR="00316D21" w:rsidRPr="00F03164">
              <w:rPr>
                <w:rFonts w:ascii="Open Sans" w:hAnsi="Open Sans" w:cs="Open Sans"/>
                <w:sz w:val="20"/>
                <w:szCs w:val="20"/>
              </w:rPr>
              <w:t xml:space="preserve"> W niniejszym przypadku wypełnienie </w:t>
            </w:r>
            <w:r w:rsidR="00316D21" w:rsidRPr="00F03164">
              <w:rPr>
                <w:rFonts w:ascii="Open Sans" w:hAnsi="Open Sans" w:cs="Open Sans"/>
                <w:sz w:val="20"/>
                <w:szCs w:val="20"/>
              </w:rPr>
              <w:lastRenderedPageBreak/>
              <w:t>obowiązku publikacyjnego to budowanie narzędzi informatycznych i ich obsługi przez właściwych pracowników – w zakładzie, gdzie kwestiami dystrybucji zajmują się służby utrzymania ruchu zakładu – nie zaś całe wieloosobowe, dedykowane służby – jak w przypadku OSDp.</w:t>
            </w:r>
          </w:p>
          <w:p w14:paraId="45BAA4AC" w14:textId="77777777" w:rsidR="00912B41" w:rsidRPr="00F03164" w:rsidRDefault="00912B41" w:rsidP="008B766F">
            <w:pPr>
              <w:jc w:val="both"/>
              <w:rPr>
                <w:rFonts w:ascii="Open Sans" w:hAnsi="Open Sans" w:cs="Open Sans"/>
                <w:sz w:val="20"/>
                <w:szCs w:val="20"/>
              </w:rPr>
            </w:pPr>
          </w:p>
          <w:p w14:paraId="19553347" w14:textId="52037139" w:rsidR="00912B41" w:rsidRPr="00F03164" w:rsidRDefault="00912B41" w:rsidP="008B766F">
            <w:pPr>
              <w:jc w:val="both"/>
              <w:rPr>
                <w:rFonts w:ascii="Open Sans" w:hAnsi="Open Sans" w:cs="Open Sans"/>
                <w:sz w:val="20"/>
                <w:szCs w:val="20"/>
              </w:rPr>
            </w:pPr>
            <w:r w:rsidRPr="00F03164">
              <w:rPr>
                <w:rFonts w:ascii="Open Sans" w:hAnsi="Open Sans" w:cs="Open Sans"/>
                <w:sz w:val="20"/>
                <w:szCs w:val="20"/>
              </w:rPr>
              <w:t xml:space="preserve">Wskazane regulacja jednak to jednak nie tylko dodatkowe koszty, ale też </w:t>
            </w:r>
            <w:r w:rsidRPr="00F03164">
              <w:rPr>
                <w:rFonts w:ascii="Open Sans" w:hAnsi="Open Sans" w:cs="Open Sans"/>
                <w:b/>
                <w:bCs/>
                <w:sz w:val="20"/>
                <w:szCs w:val="20"/>
              </w:rPr>
              <w:t>istotne ryzyko ujawniania informacji sensytywnych</w:t>
            </w:r>
            <w:r w:rsidR="00FA5C3C" w:rsidRPr="00F03164">
              <w:rPr>
                <w:rFonts w:ascii="Open Sans" w:hAnsi="Open Sans" w:cs="Open Sans"/>
                <w:b/>
                <w:bCs/>
                <w:sz w:val="20"/>
                <w:szCs w:val="20"/>
              </w:rPr>
              <w:t xml:space="preserve"> (coś co </w:t>
            </w:r>
            <w:r w:rsidR="00316D21" w:rsidRPr="00F03164">
              <w:rPr>
                <w:rFonts w:ascii="Open Sans" w:hAnsi="Open Sans" w:cs="Open Sans"/>
                <w:b/>
                <w:bCs/>
                <w:sz w:val="20"/>
                <w:szCs w:val="20"/>
              </w:rPr>
              <w:t>przede wszystkim</w:t>
            </w:r>
            <w:r w:rsidR="00FA5C3C" w:rsidRPr="00F03164">
              <w:rPr>
                <w:rFonts w:ascii="Open Sans" w:hAnsi="Open Sans" w:cs="Open Sans"/>
                <w:b/>
                <w:bCs/>
                <w:sz w:val="20"/>
                <w:szCs w:val="20"/>
              </w:rPr>
              <w:t xml:space="preserve"> nie zostało wzięte pod uwagę).</w:t>
            </w:r>
          </w:p>
          <w:p w14:paraId="1400FC34" w14:textId="77777777" w:rsidR="00912B41" w:rsidRPr="00F03164" w:rsidRDefault="00912B41" w:rsidP="008B766F">
            <w:pPr>
              <w:jc w:val="both"/>
              <w:rPr>
                <w:rFonts w:ascii="Open Sans" w:hAnsi="Open Sans" w:cs="Open Sans"/>
                <w:sz w:val="20"/>
                <w:szCs w:val="20"/>
              </w:rPr>
            </w:pPr>
          </w:p>
          <w:p w14:paraId="522CD9C7" w14:textId="4DB61AE0" w:rsidR="00912B41" w:rsidRPr="00F03164" w:rsidRDefault="00912B41" w:rsidP="008B766F">
            <w:pPr>
              <w:jc w:val="both"/>
              <w:rPr>
                <w:rFonts w:ascii="Open Sans" w:hAnsi="Open Sans" w:cs="Open Sans"/>
                <w:sz w:val="20"/>
                <w:szCs w:val="20"/>
              </w:rPr>
            </w:pPr>
            <w:r w:rsidRPr="00F03164">
              <w:rPr>
                <w:rFonts w:ascii="Open Sans" w:hAnsi="Open Sans" w:cs="Open Sans"/>
                <w:sz w:val="20"/>
                <w:szCs w:val="20"/>
              </w:rPr>
              <w:t>Przemysłowe OSD</w:t>
            </w:r>
            <w:r w:rsidR="00FA5C3C" w:rsidRPr="00F03164">
              <w:rPr>
                <w:rFonts w:ascii="Open Sans" w:hAnsi="Open Sans" w:cs="Open Sans"/>
                <w:sz w:val="20"/>
                <w:szCs w:val="20"/>
              </w:rPr>
              <w:t xml:space="preserve"> (huty, zakłady górnicze, zakłady chemiczne itp.)</w:t>
            </w:r>
            <w:r w:rsidRPr="00F03164">
              <w:rPr>
                <w:rFonts w:ascii="Open Sans" w:hAnsi="Open Sans" w:cs="Open Sans"/>
                <w:sz w:val="20"/>
                <w:szCs w:val="20"/>
              </w:rPr>
              <w:t xml:space="preserve"> mają często jedynie po kilku- kilkudziesięciu odbiorców, przy czym bardzo często większość energii transportowana przez sieci tych operatorów służy ich potrzebom własnym</w:t>
            </w:r>
            <w:r w:rsidR="00FA5C3C" w:rsidRPr="00F03164">
              <w:rPr>
                <w:rFonts w:ascii="Open Sans" w:hAnsi="Open Sans" w:cs="Open Sans"/>
                <w:sz w:val="20"/>
                <w:szCs w:val="20"/>
              </w:rPr>
              <w:t xml:space="preserve">, a jedynie niewielka część trafia do podmiotów zewnętrznych – zwykle </w:t>
            </w:r>
            <w:r w:rsidR="00316D21" w:rsidRPr="00F03164">
              <w:rPr>
                <w:rFonts w:ascii="Open Sans" w:hAnsi="Open Sans" w:cs="Open Sans"/>
                <w:sz w:val="20"/>
                <w:szCs w:val="20"/>
              </w:rPr>
              <w:t xml:space="preserve">zresztą </w:t>
            </w:r>
            <w:r w:rsidR="00FA5C3C" w:rsidRPr="00F03164">
              <w:rPr>
                <w:rFonts w:ascii="Open Sans" w:hAnsi="Open Sans" w:cs="Open Sans"/>
                <w:sz w:val="20"/>
                <w:szCs w:val="20"/>
              </w:rPr>
              <w:t>kooperantów</w:t>
            </w:r>
            <w:r w:rsidRPr="00F03164">
              <w:rPr>
                <w:rFonts w:ascii="Open Sans" w:hAnsi="Open Sans" w:cs="Open Sans"/>
                <w:sz w:val="20"/>
                <w:szCs w:val="20"/>
              </w:rPr>
              <w:t xml:space="preserve">. </w:t>
            </w:r>
            <w:r w:rsidR="00316D21" w:rsidRPr="00F03164">
              <w:rPr>
                <w:rFonts w:ascii="Open Sans" w:hAnsi="Open Sans" w:cs="Open Sans"/>
                <w:sz w:val="20"/>
                <w:szCs w:val="20"/>
              </w:rPr>
              <w:t>Na potrzeby własne p</w:t>
            </w:r>
            <w:r w:rsidRPr="00F03164">
              <w:rPr>
                <w:rFonts w:ascii="Open Sans" w:hAnsi="Open Sans" w:cs="Open Sans"/>
                <w:sz w:val="20"/>
                <w:szCs w:val="20"/>
              </w:rPr>
              <w:t>otrafi</w:t>
            </w:r>
            <w:r w:rsidR="00316D21" w:rsidRPr="00F03164">
              <w:rPr>
                <w:rFonts w:ascii="Open Sans" w:hAnsi="Open Sans" w:cs="Open Sans"/>
                <w:sz w:val="20"/>
                <w:szCs w:val="20"/>
              </w:rPr>
              <w:t xml:space="preserve"> </w:t>
            </w:r>
            <w:r w:rsidRPr="00F03164">
              <w:rPr>
                <w:rFonts w:ascii="Open Sans" w:hAnsi="Open Sans" w:cs="Open Sans"/>
                <w:sz w:val="20"/>
                <w:szCs w:val="20"/>
              </w:rPr>
              <w:t>być</w:t>
            </w:r>
            <w:r w:rsidR="00DB3610" w:rsidRPr="00F03164">
              <w:rPr>
                <w:rFonts w:ascii="Open Sans" w:hAnsi="Open Sans" w:cs="Open Sans"/>
                <w:sz w:val="20"/>
                <w:szCs w:val="20"/>
              </w:rPr>
              <w:t xml:space="preserve"> </w:t>
            </w:r>
            <w:r w:rsidR="00316D21" w:rsidRPr="00F03164">
              <w:rPr>
                <w:rFonts w:ascii="Open Sans" w:hAnsi="Open Sans" w:cs="Open Sans"/>
                <w:sz w:val="20"/>
                <w:szCs w:val="20"/>
              </w:rPr>
              <w:t>przeznaczane</w:t>
            </w:r>
            <w:r w:rsidRPr="00F03164">
              <w:rPr>
                <w:rFonts w:ascii="Open Sans" w:hAnsi="Open Sans" w:cs="Open Sans"/>
                <w:sz w:val="20"/>
                <w:szCs w:val="20"/>
              </w:rPr>
              <w:t xml:space="preserve"> ponad 90% </w:t>
            </w:r>
            <w:r w:rsidR="00FA5C3C" w:rsidRPr="00F03164">
              <w:rPr>
                <w:rFonts w:ascii="Open Sans" w:hAnsi="Open Sans" w:cs="Open Sans"/>
                <w:sz w:val="20"/>
                <w:szCs w:val="20"/>
              </w:rPr>
              <w:t xml:space="preserve">przesyłanego </w:t>
            </w:r>
            <w:r w:rsidRPr="00F03164">
              <w:rPr>
                <w:rFonts w:ascii="Open Sans" w:hAnsi="Open Sans" w:cs="Open Sans"/>
                <w:sz w:val="20"/>
                <w:szCs w:val="20"/>
              </w:rPr>
              <w:t>wolumenu</w:t>
            </w:r>
            <w:r w:rsidR="00DB3610" w:rsidRPr="00F03164">
              <w:rPr>
                <w:rFonts w:ascii="Open Sans" w:hAnsi="Open Sans" w:cs="Open Sans"/>
                <w:sz w:val="20"/>
                <w:szCs w:val="20"/>
              </w:rPr>
              <w:t xml:space="preserve">. Zazwyczaj na obszarach takich OSD także źródła wytwórcze działają na potrzeby zakładu będącego OSD (mają </w:t>
            </w:r>
            <w:r w:rsidR="00FA5C3C" w:rsidRPr="00F03164">
              <w:rPr>
                <w:rFonts w:ascii="Open Sans" w:hAnsi="Open Sans" w:cs="Open Sans"/>
                <w:sz w:val="20"/>
                <w:szCs w:val="20"/>
              </w:rPr>
              <w:t xml:space="preserve">one bowiem </w:t>
            </w:r>
            <w:r w:rsidR="00DB3610" w:rsidRPr="00F03164">
              <w:rPr>
                <w:rFonts w:ascii="Open Sans" w:hAnsi="Open Sans" w:cs="Open Sans"/>
                <w:sz w:val="20"/>
                <w:szCs w:val="20"/>
              </w:rPr>
              <w:t>charakter autoprodukcyjny).</w:t>
            </w:r>
          </w:p>
          <w:p w14:paraId="600D80A2" w14:textId="77777777" w:rsidR="00DB3610" w:rsidRPr="00F03164" w:rsidRDefault="00DB3610" w:rsidP="008B766F">
            <w:pPr>
              <w:jc w:val="both"/>
              <w:rPr>
                <w:rFonts w:ascii="Open Sans" w:hAnsi="Open Sans" w:cs="Open Sans"/>
                <w:sz w:val="20"/>
                <w:szCs w:val="20"/>
              </w:rPr>
            </w:pPr>
          </w:p>
          <w:p w14:paraId="5E38240E" w14:textId="583FE7DA" w:rsidR="00DB3610" w:rsidRPr="00F03164" w:rsidRDefault="00DB3610" w:rsidP="008B766F">
            <w:pPr>
              <w:jc w:val="both"/>
              <w:rPr>
                <w:rFonts w:ascii="Open Sans" w:hAnsi="Open Sans" w:cs="Open Sans"/>
                <w:b/>
                <w:bCs/>
                <w:sz w:val="20"/>
                <w:szCs w:val="20"/>
              </w:rPr>
            </w:pPr>
            <w:r w:rsidRPr="00F03164">
              <w:rPr>
                <w:rFonts w:ascii="Open Sans" w:hAnsi="Open Sans" w:cs="Open Sans"/>
                <w:b/>
                <w:bCs/>
                <w:sz w:val="20"/>
                <w:szCs w:val="20"/>
              </w:rPr>
              <w:t>Obowiązek podawania</w:t>
            </w:r>
            <w:r w:rsidR="00442349" w:rsidRPr="00F03164">
              <w:rPr>
                <w:rFonts w:ascii="Open Sans" w:hAnsi="Open Sans" w:cs="Open Sans"/>
                <w:b/>
                <w:bCs/>
                <w:sz w:val="20"/>
                <w:szCs w:val="20"/>
              </w:rPr>
              <w:t xml:space="preserve"> i publikowania</w:t>
            </w:r>
            <w:r w:rsidRPr="00F03164">
              <w:rPr>
                <w:rFonts w:ascii="Open Sans" w:hAnsi="Open Sans" w:cs="Open Sans"/>
                <w:b/>
                <w:bCs/>
                <w:sz w:val="20"/>
                <w:szCs w:val="20"/>
              </w:rPr>
              <w:t xml:space="preserve"> danych dotyczących energii wprowadzanej do sieci takiego OSDn przez źródła do niego przyłączone, jak też danych dot. wymiany międzysystemowej (OSDn-OSDp), w granulacji 15 minutowej – w praktyce zatem ujawnia pełen profil produkcyjny takiego zakładu. Agregacja </w:t>
            </w:r>
            <w:r w:rsidR="00316D21" w:rsidRPr="00F03164">
              <w:rPr>
                <w:rFonts w:ascii="Open Sans" w:hAnsi="Open Sans" w:cs="Open Sans"/>
                <w:b/>
                <w:bCs/>
                <w:sz w:val="20"/>
                <w:szCs w:val="20"/>
              </w:rPr>
              <w:t xml:space="preserve">podawanych </w:t>
            </w:r>
            <w:r w:rsidRPr="00F03164">
              <w:rPr>
                <w:rFonts w:ascii="Open Sans" w:hAnsi="Open Sans" w:cs="Open Sans"/>
                <w:b/>
                <w:bCs/>
                <w:sz w:val="20"/>
                <w:szCs w:val="20"/>
              </w:rPr>
              <w:t xml:space="preserve">danych w takich przypadkach w żaden sposób nie chroni </w:t>
            </w:r>
            <w:r w:rsidR="00442349" w:rsidRPr="00F03164">
              <w:rPr>
                <w:rFonts w:ascii="Open Sans" w:hAnsi="Open Sans" w:cs="Open Sans"/>
                <w:b/>
                <w:bCs/>
                <w:sz w:val="20"/>
                <w:szCs w:val="20"/>
              </w:rPr>
              <w:t xml:space="preserve"> bowiem </w:t>
            </w:r>
            <w:r w:rsidRPr="00F03164">
              <w:rPr>
                <w:rFonts w:ascii="Open Sans" w:hAnsi="Open Sans" w:cs="Open Sans"/>
                <w:b/>
                <w:bCs/>
                <w:sz w:val="20"/>
                <w:szCs w:val="20"/>
              </w:rPr>
              <w:t>przed możliwości</w:t>
            </w:r>
            <w:r w:rsidR="00442349" w:rsidRPr="00F03164">
              <w:rPr>
                <w:rFonts w:ascii="Open Sans" w:hAnsi="Open Sans" w:cs="Open Sans"/>
                <w:b/>
                <w:bCs/>
                <w:sz w:val="20"/>
                <w:szCs w:val="20"/>
              </w:rPr>
              <w:t>ą</w:t>
            </w:r>
            <w:r w:rsidRPr="00F03164">
              <w:rPr>
                <w:rFonts w:ascii="Open Sans" w:hAnsi="Open Sans" w:cs="Open Sans"/>
                <w:b/>
                <w:bCs/>
                <w:sz w:val="20"/>
                <w:szCs w:val="20"/>
              </w:rPr>
              <w:t xml:space="preserve"> indywidualizacji profilu poboru. Jeśli na terenie OSD </w:t>
            </w:r>
            <w:r w:rsidR="00442349" w:rsidRPr="00F03164">
              <w:rPr>
                <w:rFonts w:ascii="Open Sans" w:hAnsi="Open Sans" w:cs="Open Sans"/>
                <w:b/>
                <w:bCs/>
                <w:sz w:val="20"/>
                <w:szCs w:val="20"/>
              </w:rPr>
              <w:lastRenderedPageBreak/>
              <w:t>przemysłowego</w:t>
            </w:r>
            <w:r w:rsidRPr="00F03164">
              <w:rPr>
                <w:rFonts w:ascii="Open Sans" w:hAnsi="Open Sans" w:cs="Open Sans"/>
                <w:b/>
                <w:bCs/>
                <w:sz w:val="20"/>
                <w:szCs w:val="20"/>
              </w:rPr>
              <w:t xml:space="preserve"> jest tylko kilku odbiorców </w:t>
            </w:r>
            <w:r w:rsidR="003447A1" w:rsidRPr="00F03164">
              <w:rPr>
                <w:rFonts w:ascii="Open Sans" w:hAnsi="Open Sans" w:cs="Open Sans"/>
                <w:b/>
                <w:bCs/>
                <w:sz w:val="20"/>
                <w:szCs w:val="20"/>
              </w:rPr>
              <w:t>odpowiadających</w:t>
            </w:r>
            <w:r w:rsidRPr="00F03164">
              <w:rPr>
                <w:rFonts w:ascii="Open Sans" w:hAnsi="Open Sans" w:cs="Open Sans"/>
                <w:b/>
                <w:bCs/>
                <w:sz w:val="20"/>
                <w:szCs w:val="20"/>
              </w:rPr>
              <w:t xml:space="preserve"> za kilka % pobor</w:t>
            </w:r>
            <w:r w:rsidR="00442349" w:rsidRPr="00F03164">
              <w:rPr>
                <w:rFonts w:ascii="Open Sans" w:hAnsi="Open Sans" w:cs="Open Sans"/>
                <w:b/>
                <w:bCs/>
                <w:sz w:val="20"/>
                <w:szCs w:val="20"/>
              </w:rPr>
              <w:t>u</w:t>
            </w:r>
            <w:r w:rsidRPr="00F03164">
              <w:rPr>
                <w:rFonts w:ascii="Open Sans" w:hAnsi="Open Sans" w:cs="Open Sans"/>
                <w:b/>
                <w:bCs/>
                <w:sz w:val="20"/>
                <w:szCs w:val="20"/>
              </w:rPr>
              <w:t xml:space="preserve">, to jest oczywistym, że </w:t>
            </w:r>
            <w:r w:rsidR="003447A1" w:rsidRPr="00F03164">
              <w:rPr>
                <w:rFonts w:ascii="Open Sans" w:hAnsi="Open Sans" w:cs="Open Sans"/>
                <w:b/>
                <w:bCs/>
                <w:sz w:val="20"/>
                <w:szCs w:val="20"/>
              </w:rPr>
              <w:t>publikowanie danych</w:t>
            </w:r>
            <w:r w:rsidR="00442349" w:rsidRPr="00F03164">
              <w:rPr>
                <w:rFonts w:ascii="Open Sans" w:hAnsi="Open Sans" w:cs="Open Sans"/>
                <w:b/>
                <w:bCs/>
                <w:sz w:val="20"/>
                <w:szCs w:val="20"/>
              </w:rPr>
              <w:t xml:space="preserve"> o wymianie międzystemowej w istocie </w:t>
            </w:r>
            <w:r w:rsidR="00C5636C" w:rsidRPr="00F03164">
              <w:rPr>
                <w:rFonts w:ascii="Open Sans" w:hAnsi="Open Sans" w:cs="Open Sans"/>
                <w:b/>
                <w:bCs/>
                <w:sz w:val="20"/>
                <w:szCs w:val="20"/>
              </w:rPr>
              <w:t>równa się podaniu</w:t>
            </w:r>
            <w:r w:rsidR="00316D21" w:rsidRPr="00F03164">
              <w:rPr>
                <w:rFonts w:ascii="Open Sans" w:hAnsi="Open Sans" w:cs="Open Sans"/>
                <w:b/>
                <w:bCs/>
                <w:sz w:val="20"/>
                <w:szCs w:val="20"/>
              </w:rPr>
              <w:t xml:space="preserve"> do wiedzy </w:t>
            </w:r>
            <w:r w:rsidR="003B7FA8" w:rsidRPr="00F03164">
              <w:rPr>
                <w:rFonts w:ascii="Open Sans" w:hAnsi="Open Sans" w:cs="Open Sans"/>
                <w:b/>
                <w:bCs/>
                <w:sz w:val="20"/>
                <w:szCs w:val="20"/>
              </w:rPr>
              <w:t>powszechnej</w:t>
            </w:r>
            <w:r w:rsidR="00442349" w:rsidRPr="00F03164">
              <w:rPr>
                <w:rFonts w:ascii="Open Sans" w:hAnsi="Open Sans" w:cs="Open Sans"/>
                <w:b/>
                <w:bCs/>
                <w:sz w:val="20"/>
                <w:szCs w:val="20"/>
              </w:rPr>
              <w:t xml:space="preserve"> danych o zużyciu energii w zakładzie.</w:t>
            </w:r>
            <w:r w:rsidR="00C5636C" w:rsidRPr="00F03164">
              <w:rPr>
                <w:rFonts w:ascii="Open Sans" w:hAnsi="Open Sans" w:cs="Open Sans"/>
                <w:b/>
                <w:bCs/>
                <w:sz w:val="20"/>
                <w:szCs w:val="20"/>
              </w:rPr>
              <w:t xml:space="preserve"> Agregacja dla 100 tys. odbiorców i dla 5 odbiorców niewątpliwie ma znacząco różny wpływ anonimizujący.</w:t>
            </w:r>
            <w:r w:rsidR="00442349" w:rsidRPr="00F03164">
              <w:rPr>
                <w:rFonts w:ascii="Open Sans" w:hAnsi="Open Sans" w:cs="Open Sans"/>
                <w:b/>
                <w:bCs/>
                <w:sz w:val="20"/>
                <w:szCs w:val="20"/>
              </w:rPr>
              <w:t xml:space="preserve"> Dla osób mających specjalistyczną wiedze dane 15 min</w:t>
            </w:r>
            <w:r w:rsidR="00C5636C" w:rsidRPr="00F03164">
              <w:rPr>
                <w:rFonts w:ascii="Open Sans" w:hAnsi="Open Sans" w:cs="Open Sans"/>
                <w:b/>
                <w:bCs/>
                <w:sz w:val="20"/>
                <w:szCs w:val="20"/>
              </w:rPr>
              <w:t xml:space="preserve"> dot. poboru i produkcji energii</w:t>
            </w:r>
            <w:r w:rsidR="00442349" w:rsidRPr="00F03164">
              <w:rPr>
                <w:rFonts w:ascii="Open Sans" w:hAnsi="Open Sans" w:cs="Open Sans"/>
                <w:b/>
                <w:bCs/>
                <w:sz w:val="20"/>
                <w:szCs w:val="20"/>
              </w:rPr>
              <w:t xml:space="preserve"> pozwalają precyzyjnie określić specyfikę produkcyjną</w:t>
            </w:r>
            <w:r w:rsidR="00316D21" w:rsidRPr="00F03164">
              <w:rPr>
                <w:rFonts w:ascii="Open Sans" w:hAnsi="Open Sans" w:cs="Open Sans"/>
                <w:b/>
                <w:bCs/>
                <w:sz w:val="20"/>
                <w:szCs w:val="20"/>
              </w:rPr>
              <w:t>,</w:t>
            </w:r>
            <w:r w:rsidR="00442349" w:rsidRPr="00F03164">
              <w:rPr>
                <w:rFonts w:ascii="Open Sans" w:hAnsi="Open Sans" w:cs="Open Sans"/>
                <w:b/>
                <w:bCs/>
                <w:sz w:val="20"/>
                <w:szCs w:val="20"/>
              </w:rPr>
              <w:t xml:space="preserve"> </w:t>
            </w:r>
            <w:r w:rsidR="00316D21" w:rsidRPr="00F03164">
              <w:rPr>
                <w:rFonts w:ascii="Open Sans" w:hAnsi="Open Sans" w:cs="Open Sans"/>
                <w:b/>
                <w:bCs/>
                <w:sz w:val="20"/>
                <w:szCs w:val="20"/>
              </w:rPr>
              <w:t>zastosowaną</w:t>
            </w:r>
            <w:r w:rsidR="00442349" w:rsidRPr="00F03164">
              <w:rPr>
                <w:rFonts w:ascii="Open Sans" w:hAnsi="Open Sans" w:cs="Open Sans"/>
                <w:b/>
                <w:bCs/>
                <w:sz w:val="20"/>
                <w:szCs w:val="20"/>
              </w:rPr>
              <w:t xml:space="preserve"> technologię</w:t>
            </w:r>
            <w:r w:rsidR="00316D21" w:rsidRPr="00F03164">
              <w:rPr>
                <w:rFonts w:ascii="Open Sans" w:hAnsi="Open Sans" w:cs="Open Sans"/>
                <w:b/>
                <w:bCs/>
                <w:sz w:val="20"/>
                <w:szCs w:val="20"/>
              </w:rPr>
              <w:t>, identyfikacje działań optymalizacyjnych zużycie</w:t>
            </w:r>
            <w:r w:rsidR="00C5636C" w:rsidRPr="00F03164">
              <w:rPr>
                <w:rFonts w:ascii="Open Sans" w:hAnsi="Open Sans" w:cs="Open Sans"/>
                <w:b/>
                <w:bCs/>
                <w:sz w:val="20"/>
                <w:szCs w:val="20"/>
              </w:rPr>
              <w:t xml:space="preserve"> danego zakładu</w:t>
            </w:r>
            <w:r w:rsidR="00316D21" w:rsidRPr="00F03164">
              <w:rPr>
                <w:rFonts w:ascii="Open Sans" w:hAnsi="Open Sans" w:cs="Open Sans"/>
                <w:b/>
                <w:bCs/>
                <w:sz w:val="20"/>
                <w:szCs w:val="20"/>
              </w:rPr>
              <w:t xml:space="preserve"> itp.</w:t>
            </w:r>
            <w:r w:rsidR="00FA5C3C" w:rsidRPr="00F03164">
              <w:rPr>
                <w:rFonts w:ascii="Open Sans" w:hAnsi="Open Sans" w:cs="Open Sans"/>
                <w:b/>
                <w:bCs/>
                <w:sz w:val="20"/>
                <w:szCs w:val="20"/>
              </w:rPr>
              <w:t xml:space="preserve"> – zwłaszcza jeśli z publicznych danych wiadomo jakiego rodzaju zakład funkcjonuje na danym terenie</w:t>
            </w:r>
            <w:r w:rsidR="00442349" w:rsidRPr="00F03164">
              <w:rPr>
                <w:rFonts w:ascii="Open Sans" w:hAnsi="Open Sans" w:cs="Open Sans"/>
                <w:b/>
                <w:bCs/>
                <w:sz w:val="20"/>
                <w:szCs w:val="20"/>
              </w:rPr>
              <w:t>. Są to dane pozwalające konkurencji określić precyzyjnie aktywność gospodarczą danego zakładu – przekładające się na szacunki o wielkości i przedmiocie produkcji</w:t>
            </w:r>
            <w:r w:rsidR="00316D21" w:rsidRPr="00F03164">
              <w:rPr>
                <w:rFonts w:ascii="Open Sans" w:hAnsi="Open Sans" w:cs="Open Sans"/>
                <w:b/>
                <w:bCs/>
                <w:sz w:val="20"/>
                <w:szCs w:val="20"/>
              </w:rPr>
              <w:t>, a także technologii</w:t>
            </w:r>
            <w:r w:rsidR="00C5636C" w:rsidRPr="00F03164">
              <w:rPr>
                <w:rFonts w:ascii="Open Sans" w:hAnsi="Open Sans" w:cs="Open Sans"/>
                <w:b/>
                <w:bCs/>
                <w:sz w:val="20"/>
                <w:szCs w:val="20"/>
              </w:rPr>
              <w:t xml:space="preserve"> – niemalże w czasie rzeczywistym</w:t>
            </w:r>
            <w:r w:rsidR="00442349" w:rsidRPr="00F03164">
              <w:rPr>
                <w:rFonts w:ascii="Open Sans" w:hAnsi="Open Sans" w:cs="Open Sans"/>
                <w:b/>
                <w:bCs/>
                <w:sz w:val="20"/>
                <w:szCs w:val="20"/>
              </w:rPr>
              <w:t xml:space="preserve">. </w:t>
            </w:r>
            <w:r w:rsidR="00C5636C" w:rsidRPr="00F03164">
              <w:rPr>
                <w:rFonts w:ascii="Open Sans" w:hAnsi="Open Sans" w:cs="Open Sans"/>
                <w:b/>
                <w:bCs/>
                <w:sz w:val="20"/>
                <w:szCs w:val="20"/>
              </w:rPr>
              <w:t>Dane o zużyciu energii są zaś kwalifikowane jako tajemnica handlowa</w:t>
            </w:r>
            <w:r w:rsidR="00316D21" w:rsidRPr="00F03164">
              <w:rPr>
                <w:rFonts w:ascii="Open Sans" w:hAnsi="Open Sans" w:cs="Open Sans"/>
                <w:b/>
                <w:bCs/>
                <w:sz w:val="20"/>
                <w:szCs w:val="20"/>
              </w:rPr>
              <w:t xml:space="preserve"> (w umowach zazwyczaj </w:t>
            </w:r>
            <w:r w:rsidR="00753BCC" w:rsidRPr="00F03164">
              <w:rPr>
                <w:rFonts w:ascii="Open Sans" w:hAnsi="Open Sans" w:cs="Open Sans"/>
                <w:b/>
                <w:bCs/>
                <w:sz w:val="20"/>
                <w:szCs w:val="20"/>
              </w:rPr>
              <w:t>ujawnienie ich obwarowane jest wysokimi karami)</w:t>
            </w:r>
            <w:r w:rsidR="00C5636C" w:rsidRPr="00F03164">
              <w:rPr>
                <w:rFonts w:ascii="Open Sans" w:hAnsi="Open Sans" w:cs="Open Sans"/>
                <w:b/>
                <w:bCs/>
                <w:sz w:val="20"/>
                <w:szCs w:val="20"/>
              </w:rPr>
              <w:t xml:space="preserve">. </w:t>
            </w:r>
            <w:r w:rsidR="00442349" w:rsidRPr="00F03164">
              <w:rPr>
                <w:rFonts w:ascii="Open Sans" w:hAnsi="Open Sans" w:cs="Open Sans"/>
                <w:b/>
                <w:bCs/>
                <w:sz w:val="20"/>
                <w:szCs w:val="20"/>
              </w:rPr>
              <w:t xml:space="preserve">W tym miejscu należy wziąć pod uwagę, że bardzo często dotyczy to </w:t>
            </w:r>
            <w:r w:rsidR="00FA5C3C" w:rsidRPr="00F03164">
              <w:rPr>
                <w:rFonts w:ascii="Open Sans" w:hAnsi="Open Sans" w:cs="Open Sans"/>
                <w:b/>
                <w:bCs/>
                <w:sz w:val="20"/>
                <w:szCs w:val="20"/>
              </w:rPr>
              <w:t xml:space="preserve">też </w:t>
            </w:r>
            <w:r w:rsidR="00442349" w:rsidRPr="00F03164">
              <w:rPr>
                <w:rFonts w:ascii="Open Sans" w:hAnsi="Open Sans" w:cs="Open Sans"/>
                <w:b/>
                <w:bCs/>
                <w:sz w:val="20"/>
                <w:szCs w:val="20"/>
              </w:rPr>
              <w:t xml:space="preserve">zakładów o </w:t>
            </w:r>
            <w:r w:rsidR="00C5636C" w:rsidRPr="00F03164">
              <w:rPr>
                <w:rFonts w:ascii="Open Sans" w:hAnsi="Open Sans" w:cs="Open Sans"/>
                <w:b/>
                <w:bCs/>
                <w:sz w:val="20"/>
                <w:szCs w:val="20"/>
              </w:rPr>
              <w:t>strategicznym znaczeniu dla kraju</w:t>
            </w:r>
            <w:r w:rsidR="00FA5C3C" w:rsidRPr="00F03164">
              <w:rPr>
                <w:rFonts w:ascii="Open Sans" w:hAnsi="Open Sans" w:cs="Open Sans"/>
                <w:b/>
                <w:bCs/>
                <w:sz w:val="20"/>
                <w:szCs w:val="20"/>
              </w:rPr>
              <w:t xml:space="preserve">, których produkcja ma też znaczenie dla bezpieczeństwa </w:t>
            </w:r>
            <w:r w:rsidR="00753BCC" w:rsidRPr="00F03164">
              <w:rPr>
                <w:rFonts w:ascii="Open Sans" w:hAnsi="Open Sans" w:cs="Open Sans"/>
                <w:b/>
                <w:bCs/>
                <w:sz w:val="20"/>
                <w:szCs w:val="20"/>
              </w:rPr>
              <w:t>narodowego (huty, zakłady zbrojeniowe)</w:t>
            </w:r>
            <w:r w:rsidR="00FA5C3C" w:rsidRPr="00F03164">
              <w:rPr>
                <w:rFonts w:ascii="Open Sans" w:hAnsi="Open Sans" w:cs="Open Sans"/>
                <w:b/>
                <w:bCs/>
                <w:sz w:val="20"/>
                <w:szCs w:val="20"/>
              </w:rPr>
              <w:t>.</w:t>
            </w:r>
            <w:r w:rsidR="00C5636C" w:rsidRPr="00F03164">
              <w:rPr>
                <w:rFonts w:ascii="Open Sans" w:hAnsi="Open Sans" w:cs="Open Sans"/>
                <w:b/>
                <w:bCs/>
                <w:sz w:val="20"/>
                <w:szCs w:val="20"/>
              </w:rPr>
              <w:t xml:space="preserve"> Stąd utrzymanie proponowanej regulacji w obecnym kształcie tak w aktualnym jak i projektowanym rozporządzeniu należy uznać za niedopuszczalne.</w:t>
            </w:r>
          </w:p>
          <w:p w14:paraId="6FA52339" w14:textId="77777777" w:rsidR="00912B41" w:rsidRPr="00F03164" w:rsidRDefault="00912B41" w:rsidP="008B766F">
            <w:pPr>
              <w:jc w:val="both"/>
              <w:rPr>
                <w:rFonts w:ascii="Open Sans" w:hAnsi="Open Sans" w:cs="Open Sans"/>
                <w:sz w:val="20"/>
                <w:szCs w:val="20"/>
              </w:rPr>
            </w:pPr>
          </w:p>
          <w:p w14:paraId="59C5BA70" w14:textId="6B90BCBA" w:rsidR="009139C5" w:rsidRPr="00F03164" w:rsidRDefault="00753BCC" w:rsidP="006659C8">
            <w:pPr>
              <w:jc w:val="both"/>
              <w:rPr>
                <w:rFonts w:ascii="Open Sans" w:hAnsi="Open Sans" w:cs="Open Sans"/>
                <w:sz w:val="20"/>
                <w:szCs w:val="20"/>
              </w:rPr>
            </w:pPr>
            <w:r w:rsidRPr="00F03164">
              <w:rPr>
                <w:rFonts w:ascii="Open Sans" w:hAnsi="Open Sans" w:cs="Open Sans"/>
                <w:sz w:val="20"/>
                <w:szCs w:val="20"/>
              </w:rPr>
              <w:t xml:space="preserve">Postulujemy zatem branie pod wpływu projektowanych regulacji nie tylko na największych </w:t>
            </w:r>
            <w:r w:rsidRPr="00F03164">
              <w:rPr>
                <w:rFonts w:ascii="Open Sans" w:hAnsi="Open Sans" w:cs="Open Sans"/>
                <w:sz w:val="20"/>
                <w:szCs w:val="20"/>
              </w:rPr>
              <w:lastRenderedPageBreak/>
              <w:t>OSD i nie tylko w wymiarze „energetycznym”</w:t>
            </w:r>
            <w:r w:rsidR="006659C8" w:rsidRPr="00F03164">
              <w:rPr>
                <w:rFonts w:ascii="Open Sans" w:hAnsi="Open Sans" w:cs="Open Sans"/>
                <w:sz w:val="20"/>
                <w:szCs w:val="20"/>
              </w:rPr>
              <w:t>, ale całościowo.</w:t>
            </w:r>
          </w:p>
        </w:tc>
        <w:tc>
          <w:tcPr>
            <w:tcW w:w="4252" w:type="dxa"/>
          </w:tcPr>
          <w:p w14:paraId="118E3641" w14:textId="0A2F7CC4" w:rsidR="0090574C" w:rsidRPr="00F03164" w:rsidRDefault="00C5636C" w:rsidP="008B766F">
            <w:pPr>
              <w:jc w:val="both"/>
              <w:rPr>
                <w:rFonts w:ascii="Open Sans" w:hAnsi="Open Sans" w:cs="Open Sans"/>
                <w:i/>
                <w:iCs/>
                <w:color w:val="EE0000"/>
                <w:sz w:val="20"/>
                <w:szCs w:val="20"/>
              </w:rPr>
            </w:pPr>
            <w:r w:rsidRPr="00F03164">
              <w:rPr>
                <w:rFonts w:ascii="Open Sans" w:hAnsi="Open Sans" w:cs="Open Sans"/>
                <w:i/>
                <w:iCs/>
                <w:color w:val="EE0000"/>
                <w:sz w:val="20"/>
                <w:szCs w:val="20"/>
              </w:rPr>
              <w:lastRenderedPageBreak/>
              <w:t xml:space="preserve">5. </w:t>
            </w:r>
            <w:r w:rsidR="00BF0FD2" w:rsidRPr="00F03164">
              <w:rPr>
                <w:rFonts w:ascii="Open Sans" w:hAnsi="Open Sans" w:cs="Open Sans"/>
                <w:i/>
                <w:iCs/>
                <w:color w:val="EE0000"/>
                <w:sz w:val="20"/>
                <w:szCs w:val="20"/>
              </w:rPr>
              <w:t>Przepisów ust. 1</w:t>
            </w:r>
            <w:r w:rsidR="002B13AC" w:rsidRPr="00F03164">
              <w:rPr>
                <w:rFonts w:ascii="Open Sans" w:hAnsi="Open Sans" w:cs="Open Sans"/>
                <w:i/>
                <w:iCs/>
                <w:color w:val="EE0000"/>
                <w:sz w:val="20"/>
                <w:szCs w:val="20"/>
              </w:rPr>
              <w:t xml:space="preserve">-4 nie stosuje się do  </w:t>
            </w:r>
            <w:r w:rsidR="00827BDC" w:rsidRPr="00F03164">
              <w:rPr>
                <w:rFonts w:ascii="Open Sans" w:hAnsi="Open Sans" w:cs="Open Sans"/>
                <w:i/>
                <w:iCs/>
                <w:color w:val="EE0000"/>
                <w:sz w:val="20"/>
                <w:szCs w:val="20"/>
              </w:rPr>
              <w:t>przedsiębiorstwa</w:t>
            </w:r>
            <w:r w:rsidR="002B13AC" w:rsidRPr="00F03164">
              <w:rPr>
                <w:rFonts w:ascii="Open Sans" w:hAnsi="Open Sans" w:cs="Open Sans"/>
                <w:i/>
                <w:iCs/>
                <w:color w:val="EE0000"/>
                <w:sz w:val="20"/>
                <w:szCs w:val="20"/>
              </w:rPr>
              <w:t>,</w:t>
            </w:r>
            <w:r w:rsidR="00827BDC" w:rsidRPr="00F03164">
              <w:rPr>
                <w:rFonts w:ascii="Open Sans" w:hAnsi="Open Sans" w:cs="Open Sans"/>
                <w:i/>
                <w:iCs/>
                <w:color w:val="EE0000"/>
                <w:sz w:val="20"/>
                <w:szCs w:val="20"/>
              </w:rPr>
              <w:t xml:space="preserve"> o którym mowa w art. 9d ust. 7 ustawy,</w:t>
            </w:r>
            <w:r w:rsidR="002B13AC" w:rsidRPr="00F03164">
              <w:rPr>
                <w:rFonts w:ascii="Open Sans" w:hAnsi="Open Sans" w:cs="Open Sans"/>
                <w:i/>
                <w:iCs/>
                <w:color w:val="EE0000"/>
                <w:sz w:val="20"/>
                <w:szCs w:val="20"/>
              </w:rPr>
              <w:t xml:space="preserve"> </w:t>
            </w:r>
            <w:r w:rsidR="00827BDC" w:rsidRPr="00F03164">
              <w:rPr>
                <w:rFonts w:ascii="Open Sans" w:hAnsi="Open Sans" w:cs="Open Sans"/>
                <w:i/>
                <w:iCs/>
                <w:color w:val="EE0000"/>
                <w:sz w:val="20"/>
                <w:szCs w:val="20"/>
              </w:rPr>
              <w:t xml:space="preserve">i </w:t>
            </w:r>
            <w:r w:rsidR="002B13AC" w:rsidRPr="00F03164">
              <w:rPr>
                <w:rFonts w:ascii="Open Sans" w:hAnsi="Open Sans" w:cs="Open Sans"/>
                <w:i/>
                <w:iCs/>
                <w:color w:val="EE0000"/>
                <w:sz w:val="20"/>
                <w:szCs w:val="20"/>
              </w:rPr>
              <w:t>któr</w:t>
            </w:r>
            <w:r w:rsidR="00827BDC" w:rsidRPr="00F03164">
              <w:rPr>
                <w:rFonts w:ascii="Open Sans" w:hAnsi="Open Sans" w:cs="Open Sans"/>
                <w:i/>
                <w:iCs/>
                <w:color w:val="EE0000"/>
                <w:sz w:val="20"/>
                <w:szCs w:val="20"/>
              </w:rPr>
              <w:t>e</w:t>
            </w:r>
            <w:r w:rsidR="002B13AC" w:rsidRPr="00F03164">
              <w:rPr>
                <w:rFonts w:ascii="Open Sans" w:hAnsi="Open Sans" w:cs="Open Sans"/>
                <w:i/>
                <w:iCs/>
                <w:color w:val="EE0000"/>
                <w:sz w:val="20"/>
                <w:szCs w:val="20"/>
              </w:rPr>
              <w:t xml:space="preserve"> </w:t>
            </w:r>
            <w:r w:rsidR="002B13AC" w:rsidRPr="00F03164">
              <w:rPr>
                <w:rFonts w:ascii="Open Sans" w:hAnsi="Open Sans" w:cs="Open Sans"/>
                <w:i/>
                <w:iCs/>
                <w:color w:val="EE0000"/>
                <w:sz w:val="20"/>
                <w:szCs w:val="20"/>
                <w:shd w:val="clear" w:color="auto" w:fill="FFFFFF"/>
              </w:rPr>
              <w:t xml:space="preserve">co najmniej </w:t>
            </w:r>
            <w:r w:rsidR="002B13AC" w:rsidRPr="00F03164">
              <w:rPr>
                <w:rFonts w:ascii="Open Sans" w:hAnsi="Open Sans" w:cs="Open Sans"/>
                <w:i/>
                <w:iCs/>
                <w:color w:val="EE0000"/>
                <w:sz w:val="20"/>
                <w:szCs w:val="20"/>
              </w:rPr>
              <w:t xml:space="preserve">50% ilości </w:t>
            </w:r>
            <w:r w:rsidR="00827BDC" w:rsidRPr="00F03164">
              <w:rPr>
                <w:rFonts w:ascii="Open Sans" w:hAnsi="Open Sans" w:cs="Open Sans"/>
                <w:i/>
                <w:iCs/>
                <w:color w:val="EE0000"/>
                <w:sz w:val="20"/>
                <w:szCs w:val="20"/>
              </w:rPr>
              <w:t>energii elektrycznej rocznie, transportowanej w ramach systemu, którego jest operatorem</w:t>
            </w:r>
            <w:r w:rsidR="002B13AC" w:rsidRPr="00F03164">
              <w:rPr>
                <w:rFonts w:ascii="Open Sans" w:hAnsi="Open Sans" w:cs="Open Sans"/>
                <w:i/>
                <w:iCs/>
                <w:color w:val="EE0000"/>
                <w:sz w:val="20"/>
                <w:szCs w:val="20"/>
              </w:rPr>
              <w:t xml:space="preserve"> zużywa na potrzeby własne</w:t>
            </w:r>
            <w:r w:rsidR="00827BDC" w:rsidRPr="00F03164">
              <w:rPr>
                <w:rFonts w:ascii="Open Sans" w:hAnsi="Open Sans" w:cs="Open Sans"/>
                <w:i/>
                <w:iCs/>
                <w:color w:val="EE0000"/>
                <w:sz w:val="20"/>
                <w:szCs w:val="20"/>
              </w:rPr>
              <w:t xml:space="preserve"> lub przedsiębiorstw z nim powiązanych.</w:t>
            </w:r>
          </w:p>
        </w:tc>
        <w:tc>
          <w:tcPr>
            <w:tcW w:w="1428" w:type="dxa"/>
          </w:tcPr>
          <w:p w14:paraId="17C40DBE" w14:textId="77777777" w:rsidR="0090574C" w:rsidRPr="009A57CE" w:rsidRDefault="0090574C" w:rsidP="008B766F">
            <w:pPr>
              <w:jc w:val="both"/>
              <w:rPr>
                <w:rFonts w:ascii="Open Sans" w:hAnsi="Open Sans" w:cs="Open Sans"/>
                <w:sz w:val="20"/>
                <w:szCs w:val="20"/>
              </w:rPr>
            </w:pPr>
          </w:p>
        </w:tc>
      </w:tr>
      <w:tr w:rsidR="00B91BB7" w:rsidRPr="009A57CE" w14:paraId="597EDC07" w14:textId="77777777" w:rsidTr="009B5AD6">
        <w:tc>
          <w:tcPr>
            <w:tcW w:w="562" w:type="dxa"/>
          </w:tcPr>
          <w:p w14:paraId="513652BE" w14:textId="5481CAA8" w:rsidR="00B91BB7" w:rsidRPr="009A57CE" w:rsidRDefault="00B91BB7" w:rsidP="008B766F">
            <w:pPr>
              <w:jc w:val="center"/>
              <w:rPr>
                <w:rFonts w:ascii="Open Sans" w:hAnsi="Open Sans" w:cs="Open Sans"/>
                <w:sz w:val="20"/>
                <w:szCs w:val="20"/>
              </w:rPr>
            </w:pPr>
            <w:r w:rsidRPr="009A57CE">
              <w:rPr>
                <w:rFonts w:ascii="Open Sans" w:hAnsi="Open Sans" w:cs="Open Sans"/>
                <w:sz w:val="20"/>
                <w:szCs w:val="20"/>
              </w:rPr>
              <w:lastRenderedPageBreak/>
              <w:t>4</w:t>
            </w:r>
          </w:p>
        </w:tc>
        <w:tc>
          <w:tcPr>
            <w:tcW w:w="1701" w:type="dxa"/>
          </w:tcPr>
          <w:p w14:paraId="2C112C99" w14:textId="2EEDF65E" w:rsidR="00B91BB7" w:rsidRPr="009A57CE" w:rsidRDefault="005666E9" w:rsidP="008B766F">
            <w:pPr>
              <w:jc w:val="both"/>
              <w:rPr>
                <w:rFonts w:ascii="Open Sans" w:hAnsi="Open Sans" w:cs="Open Sans"/>
                <w:sz w:val="20"/>
                <w:szCs w:val="20"/>
              </w:rPr>
            </w:pPr>
            <w:r w:rsidRPr="005666E9">
              <w:rPr>
                <w:rFonts w:ascii="Open Sans" w:hAnsi="Open Sans" w:cs="Open Sans"/>
                <w:sz w:val="20"/>
                <w:szCs w:val="20"/>
              </w:rPr>
              <w:t>Związek Pracodawców Polska Miedź</w:t>
            </w:r>
          </w:p>
        </w:tc>
        <w:tc>
          <w:tcPr>
            <w:tcW w:w="2694" w:type="dxa"/>
          </w:tcPr>
          <w:p w14:paraId="29E8C0CD" w14:textId="1559CD69" w:rsidR="00B91BB7" w:rsidRPr="00D9738C" w:rsidRDefault="00D9738C" w:rsidP="00D9738C">
            <w:pPr>
              <w:jc w:val="both"/>
              <w:rPr>
                <w:rFonts w:ascii="Times New Roman" w:hAnsi="Times New Roman" w:cs="Times New Roman"/>
              </w:rPr>
            </w:pPr>
            <w:r w:rsidRPr="002D06E6">
              <w:rPr>
                <w:rFonts w:ascii="Times New Roman" w:hAnsi="Times New Roman" w:cs="Times New Roman"/>
              </w:rPr>
              <w:t>§ 2</w:t>
            </w:r>
            <w:r>
              <w:rPr>
                <w:rFonts w:ascii="Times New Roman" w:hAnsi="Times New Roman" w:cs="Times New Roman"/>
              </w:rPr>
              <w:t>5</w:t>
            </w:r>
            <w:r w:rsidRPr="002D06E6">
              <w:rPr>
                <w:rFonts w:ascii="Times New Roman" w:hAnsi="Times New Roman" w:cs="Times New Roman"/>
              </w:rPr>
              <w:t xml:space="preserve"> ust. 1 pkt 2</w:t>
            </w:r>
          </w:p>
        </w:tc>
        <w:tc>
          <w:tcPr>
            <w:tcW w:w="5103" w:type="dxa"/>
          </w:tcPr>
          <w:p w14:paraId="38320C83" w14:textId="77777777" w:rsidR="00D9738C" w:rsidRPr="00F03164" w:rsidRDefault="00D9738C" w:rsidP="00D9738C">
            <w:pPr>
              <w:jc w:val="both"/>
              <w:rPr>
                <w:rFonts w:ascii="Open Sans" w:hAnsi="Open Sans" w:cs="Open Sans"/>
                <w:sz w:val="20"/>
                <w:szCs w:val="20"/>
              </w:rPr>
            </w:pPr>
            <w:r w:rsidRPr="00F03164">
              <w:rPr>
                <w:rFonts w:ascii="Open Sans" w:hAnsi="Open Sans" w:cs="Open Sans"/>
                <w:sz w:val="20"/>
                <w:szCs w:val="20"/>
              </w:rPr>
              <w:t xml:space="preserve">Dołączenie przez PSE do platformy PISCASSO w lipcu b.r. przełożyło się na wystąpienie na rynku bilansującym cen dotąd niespotykanych (- 36 932,50 zł/MWh - 30 lipca, czy – 19 000 zł/MWh - 20 lipca). </w:t>
            </w:r>
          </w:p>
          <w:p w14:paraId="7316E18B" w14:textId="77777777" w:rsidR="00D9738C" w:rsidRPr="00F03164" w:rsidRDefault="00D9738C" w:rsidP="00D9738C">
            <w:pPr>
              <w:jc w:val="both"/>
              <w:rPr>
                <w:rFonts w:ascii="Open Sans" w:hAnsi="Open Sans" w:cs="Open Sans"/>
                <w:sz w:val="20"/>
                <w:szCs w:val="20"/>
              </w:rPr>
            </w:pPr>
          </w:p>
          <w:p w14:paraId="4FD7772C" w14:textId="77777777" w:rsidR="00D9738C" w:rsidRPr="00F03164" w:rsidRDefault="00D9738C" w:rsidP="00D9738C">
            <w:pPr>
              <w:jc w:val="both"/>
              <w:rPr>
                <w:rFonts w:ascii="Open Sans" w:hAnsi="Open Sans" w:cs="Open Sans"/>
                <w:sz w:val="20"/>
                <w:szCs w:val="20"/>
              </w:rPr>
            </w:pPr>
            <w:r w:rsidRPr="00F03164">
              <w:rPr>
                <w:rFonts w:ascii="Open Sans" w:hAnsi="Open Sans" w:cs="Open Sans"/>
                <w:sz w:val="20"/>
                <w:szCs w:val="20"/>
              </w:rPr>
              <w:t>Z perspektywy podmiotów ponoszących koszty finansowania systemu - koszty udziału w platformie zdają się być niewspółmierne do korzyści. Dotychczasowa stabilizacji pracy KSE nie wiązała się bowiem z koniecznością ponoszenia jednorazowo tak wysokich opłat (innymi słowy ten sam efekt uzyskiwano niższym kosztem).</w:t>
            </w:r>
          </w:p>
          <w:p w14:paraId="1803BF8F" w14:textId="77777777" w:rsidR="00D9738C" w:rsidRPr="00F03164" w:rsidRDefault="00D9738C" w:rsidP="00D9738C">
            <w:pPr>
              <w:jc w:val="both"/>
              <w:rPr>
                <w:rFonts w:ascii="Open Sans" w:hAnsi="Open Sans" w:cs="Open Sans"/>
                <w:sz w:val="20"/>
                <w:szCs w:val="20"/>
              </w:rPr>
            </w:pPr>
          </w:p>
          <w:p w14:paraId="62D88BFE" w14:textId="77777777" w:rsidR="00D9738C" w:rsidRPr="00F03164" w:rsidRDefault="00D9738C" w:rsidP="00D9738C">
            <w:pPr>
              <w:jc w:val="both"/>
              <w:rPr>
                <w:rFonts w:ascii="Open Sans" w:hAnsi="Open Sans" w:cs="Open Sans"/>
                <w:sz w:val="20"/>
                <w:szCs w:val="20"/>
              </w:rPr>
            </w:pPr>
            <w:r w:rsidRPr="00F03164">
              <w:rPr>
                <w:rFonts w:ascii="Open Sans" w:hAnsi="Open Sans" w:cs="Open Sans"/>
                <w:sz w:val="20"/>
                <w:szCs w:val="20"/>
              </w:rPr>
              <w:t>Odbiorcy energochłonni w Polsce znajdują się obecnie w krytycznej sytuacji, z uwagi na jedne z wyższych kosztów energii elektrycznej w Europie. Odbiorcy ci ponoszą w największym stopniu koszty transformacji energetycznej, w tym te związane systemowymi preferencjami dla źródeł OZE. Tworzenie mechanizmów, które dodatkowo generują skokowy wzrost ryzyka kosztów niezbilansowania może się okazać zagrożeniem egzystencjalnym dla wielu zakładów.</w:t>
            </w:r>
          </w:p>
          <w:p w14:paraId="287F6E36" w14:textId="77777777" w:rsidR="00D9738C" w:rsidRPr="00F03164" w:rsidRDefault="00D9738C" w:rsidP="00D9738C">
            <w:pPr>
              <w:jc w:val="both"/>
              <w:rPr>
                <w:rFonts w:ascii="Open Sans" w:hAnsi="Open Sans" w:cs="Open Sans"/>
                <w:sz w:val="20"/>
                <w:szCs w:val="20"/>
              </w:rPr>
            </w:pPr>
          </w:p>
          <w:p w14:paraId="3BB3C66A" w14:textId="4B42591A" w:rsidR="00D9738C" w:rsidRPr="00F03164" w:rsidRDefault="00D9738C" w:rsidP="00D9738C">
            <w:pPr>
              <w:jc w:val="both"/>
              <w:rPr>
                <w:rFonts w:ascii="Open Sans" w:hAnsi="Open Sans" w:cs="Open Sans"/>
                <w:sz w:val="20"/>
                <w:szCs w:val="20"/>
              </w:rPr>
            </w:pPr>
            <w:r w:rsidRPr="00F03164">
              <w:rPr>
                <w:rFonts w:ascii="Open Sans" w:hAnsi="Open Sans" w:cs="Open Sans"/>
                <w:sz w:val="20"/>
                <w:szCs w:val="20"/>
              </w:rPr>
              <w:t>Realia funkcjonujące od lipca 2025 r. zobrazowały zagrożenie, że wystąpienie nagłej awarii w zakładzie – przekładającej się na jego niezbilansowanie – może kosztować taki zakład nawet kilka milionów złotych. To wszystko w sytuacji gdy odbiorcy energochłonni ponoszą już olbrzymie koszty, który miały zapewnić stabilność KSE (m.in. koszty rynku mocy, alokowane w opłacie mocowej, czy koszty opłaty jakościowej pokrywającej koszt usług systemowych).</w:t>
            </w:r>
          </w:p>
          <w:p w14:paraId="7ACF9E35" w14:textId="77777777" w:rsidR="00D9738C" w:rsidRPr="00F03164" w:rsidRDefault="00D9738C" w:rsidP="00D9738C">
            <w:pPr>
              <w:jc w:val="both"/>
              <w:rPr>
                <w:rFonts w:ascii="Open Sans" w:hAnsi="Open Sans" w:cs="Open Sans"/>
                <w:sz w:val="20"/>
                <w:szCs w:val="20"/>
              </w:rPr>
            </w:pPr>
          </w:p>
          <w:p w14:paraId="09F53EF5" w14:textId="77777777" w:rsidR="00D9738C" w:rsidRPr="00F03164" w:rsidRDefault="00D9738C" w:rsidP="00D9738C">
            <w:pPr>
              <w:jc w:val="both"/>
              <w:rPr>
                <w:rFonts w:ascii="Open Sans" w:hAnsi="Open Sans" w:cs="Open Sans"/>
                <w:sz w:val="20"/>
                <w:szCs w:val="20"/>
              </w:rPr>
            </w:pPr>
            <w:r w:rsidRPr="00F03164">
              <w:rPr>
                <w:rFonts w:ascii="Open Sans" w:hAnsi="Open Sans" w:cs="Open Sans"/>
                <w:sz w:val="20"/>
                <w:szCs w:val="20"/>
              </w:rPr>
              <w:t xml:space="preserve">Należy w tym miejscu zwrócić uwagę, że włoski  OSP (TERNA) m.in. z uwagi na skoki cenowe zawiesił swój dział w platformie PICASSO. </w:t>
            </w:r>
          </w:p>
          <w:p w14:paraId="207CFF78" w14:textId="77777777" w:rsidR="00D9738C" w:rsidRPr="00F03164" w:rsidRDefault="00D9738C" w:rsidP="00D9738C">
            <w:pPr>
              <w:jc w:val="both"/>
              <w:rPr>
                <w:rFonts w:ascii="Open Sans" w:hAnsi="Open Sans" w:cs="Open Sans"/>
                <w:sz w:val="20"/>
                <w:szCs w:val="20"/>
              </w:rPr>
            </w:pPr>
          </w:p>
          <w:p w14:paraId="52602C99" w14:textId="558A282C" w:rsidR="00B91BB7" w:rsidRPr="00F03164" w:rsidRDefault="00D9738C" w:rsidP="00D9738C">
            <w:pPr>
              <w:jc w:val="both"/>
              <w:rPr>
                <w:rFonts w:ascii="Open Sans" w:hAnsi="Open Sans" w:cs="Open Sans"/>
                <w:sz w:val="20"/>
                <w:szCs w:val="20"/>
              </w:rPr>
            </w:pPr>
            <w:r w:rsidRPr="00F03164">
              <w:rPr>
                <w:rFonts w:ascii="Open Sans" w:hAnsi="Open Sans" w:cs="Open Sans"/>
                <w:sz w:val="20"/>
                <w:szCs w:val="20"/>
              </w:rPr>
              <w:t>Przy świadomości, że opisana materia wykracza poza ramy rozporządzenia systemowego wskazane jest jednak uregulowanie możliwości zawieszenia/wstrzymania udziału OSP w europejskich platformach wymiany energii bilansującej także w samym rozporządzeniu systemowym. Tworząc jasne ramy prawne dla zawieszenia/zakończenia udziału PSE w takich platformach. Zwłaszcza mając na względzie planowane dołączenie w tym roku także przez OSP do platformy MARI.</w:t>
            </w:r>
          </w:p>
          <w:p w14:paraId="57318C3C" w14:textId="77777777" w:rsidR="00D9738C" w:rsidRPr="00F03164" w:rsidRDefault="00D9738C" w:rsidP="00D9738C">
            <w:pPr>
              <w:jc w:val="both"/>
              <w:rPr>
                <w:rFonts w:ascii="Open Sans" w:hAnsi="Open Sans" w:cs="Open Sans"/>
                <w:sz w:val="20"/>
                <w:szCs w:val="20"/>
              </w:rPr>
            </w:pPr>
          </w:p>
          <w:p w14:paraId="61393C6E" w14:textId="608DCA9B" w:rsidR="00D9738C" w:rsidRPr="00F03164" w:rsidRDefault="00D9738C" w:rsidP="0086472E">
            <w:pPr>
              <w:jc w:val="both"/>
              <w:rPr>
                <w:rFonts w:ascii="Open Sans" w:hAnsi="Open Sans" w:cs="Open Sans"/>
                <w:sz w:val="20"/>
                <w:szCs w:val="20"/>
              </w:rPr>
            </w:pPr>
            <w:r w:rsidRPr="00F03164">
              <w:rPr>
                <w:rFonts w:ascii="Open Sans" w:hAnsi="Open Sans" w:cs="Open Sans"/>
                <w:sz w:val="20"/>
                <w:szCs w:val="20"/>
              </w:rPr>
              <w:t xml:space="preserve">Jak zwracał zaś uwagę już sektor przemysłowy wpływ dołączenia PSE do platformy MARI, jak również przyznania pełnego priorytetu cenom z produktów z europejskich platform wymiany energii bilansującej – nie został przedstawiony </w:t>
            </w:r>
            <w:r w:rsidR="0086472E" w:rsidRPr="00F03164">
              <w:rPr>
                <w:rFonts w:ascii="Open Sans" w:hAnsi="Open Sans" w:cs="Open Sans"/>
                <w:sz w:val="20"/>
                <w:szCs w:val="20"/>
              </w:rPr>
              <w:t xml:space="preserve">ostatniej nowelizacji rozporządzenia systemowego. </w:t>
            </w:r>
            <w:r w:rsidRPr="00F03164">
              <w:rPr>
                <w:rFonts w:ascii="Open Sans" w:hAnsi="Open Sans" w:cs="Open Sans"/>
                <w:sz w:val="20"/>
                <w:szCs w:val="20"/>
              </w:rPr>
              <w:t xml:space="preserve"> nowelizacji ani w jego OSR. Projektowany brak uwzględniania prognozowanej ceny krajowej rezerwy operacyjnej na ceny energii bilansującej rodzi obawy o realny wzrost tych ostatnich, a co za tym idzie na podniesienie kosztów bilansowania.</w:t>
            </w:r>
          </w:p>
        </w:tc>
        <w:tc>
          <w:tcPr>
            <w:tcW w:w="4252" w:type="dxa"/>
          </w:tcPr>
          <w:p w14:paraId="72B8C94B" w14:textId="77777777" w:rsidR="00D9738C" w:rsidRPr="00F03164" w:rsidRDefault="00D9738C" w:rsidP="00D9738C">
            <w:pPr>
              <w:jc w:val="both"/>
              <w:rPr>
                <w:rFonts w:ascii="Open Sans" w:hAnsi="Open Sans" w:cs="Open Sans"/>
                <w:i/>
                <w:iCs/>
                <w:sz w:val="20"/>
                <w:szCs w:val="20"/>
              </w:rPr>
            </w:pPr>
            <w:r w:rsidRPr="00F03164">
              <w:rPr>
                <w:rFonts w:ascii="Open Sans" w:hAnsi="Open Sans" w:cs="Open Sans"/>
                <w:i/>
                <w:iCs/>
                <w:sz w:val="20"/>
                <w:szCs w:val="20"/>
              </w:rPr>
              <w:lastRenderedPageBreak/>
              <w:t>Operator systemu przesyłowego elektroenergetycznego pozyskuje energię bilansującą:</w:t>
            </w:r>
          </w:p>
          <w:p w14:paraId="360F41DA" w14:textId="77777777" w:rsidR="00D9738C" w:rsidRPr="00F03164" w:rsidRDefault="00D9738C" w:rsidP="00D9738C">
            <w:pPr>
              <w:jc w:val="both"/>
              <w:rPr>
                <w:rFonts w:ascii="Open Sans" w:hAnsi="Open Sans" w:cs="Open Sans"/>
                <w:i/>
                <w:iCs/>
                <w:sz w:val="20"/>
                <w:szCs w:val="20"/>
              </w:rPr>
            </w:pPr>
            <w:r w:rsidRPr="00F03164">
              <w:rPr>
                <w:rFonts w:ascii="Open Sans" w:hAnsi="Open Sans" w:cs="Open Sans"/>
                <w:i/>
                <w:iCs/>
                <w:sz w:val="20"/>
                <w:szCs w:val="20"/>
              </w:rPr>
              <w:t>1) na podstawie ofert zintegrowanego procesu grafikowania i programów pracy lub</w:t>
            </w:r>
          </w:p>
          <w:p w14:paraId="6BD03E7F" w14:textId="025E0890" w:rsidR="00B91BB7" w:rsidRPr="00F03164" w:rsidRDefault="00D9738C" w:rsidP="00D9738C">
            <w:pPr>
              <w:jc w:val="both"/>
              <w:rPr>
                <w:rFonts w:ascii="Open Sans" w:hAnsi="Open Sans" w:cs="Open Sans"/>
                <w:sz w:val="20"/>
                <w:szCs w:val="20"/>
              </w:rPr>
            </w:pPr>
            <w:r w:rsidRPr="00F03164">
              <w:rPr>
                <w:rFonts w:ascii="Open Sans" w:hAnsi="Open Sans" w:cs="Open Sans"/>
                <w:i/>
                <w:iCs/>
                <w:sz w:val="20"/>
                <w:szCs w:val="20"/>
              </w:rPr>
              <w:t xml:space="preserve">2) przez udział w funkcjonowaniu europejskich platform wymiany energii bilansującej - od dnia, w którym operator systemu przesyłowego elektroenergetycznego rozpoczyna uczestnictwo w procesach operacyjnych prowadzonych na danej platformie </w:t>
            </w:r>
            <w:r w:rsidRPr="00F03164">
              <w:rPr>
                <w:rFonts w:ascii="Open Sans" w:hAnsi="Open Sans" w:cs="Open Sans"/>
                <w:i/>
                <w:iCs/>
                <w:color w:val="EE0000"/>
                <w:sz w:val="20"/>
                <w:szCs w:val="20"/>
              </w:rPr>
              <w:t>– do dnia zakończenia lub zawieszenia udziału w takiej platformie</w:t>
            </w:r>
            <w:r w:rsidRPr="00F03164">
              <w:rPr>
                <w:rFonts w:ascii="Open Sans" w:hAnsi="Open Sans" w:cs="Open Sans"/>
                <w:b/>
                <w:bCs/>
                <w:i/>
                <w:iCs/>
                <w:sz w:val="20"/>
                <w:szCs w:val="20"/>
              </w:rPr>
              <w:t>.</w:t>
            </w:r>
          </w:p>
        </w:tc>
        <w:tc>
          <w:tcPr>
            <w:tcW w:w="1428" w:type="dxa"/>
          </w:tcPr>
          <w:p w14:paraId="2EFA759D" w14:textId="77777777" w:rsidR="00B91BB7" w:rsidRPr="009A57CE" w:rsidRDefault="00B91BB7" w:rsidP="008B766F">
            <w:pPr>
              <w:jc w:val="both"/>
              <w:rPr>
                <w:rFonts w:ascii="Open Sans" w:hAnsi="Open Sans" w:cs="Open Sans"/>
                <w:sz w:val="20"/>
                <w:szCs w:val="20"/>
              </w:rPr>
            </w:pPr>
          </w:p>
        </w:tc>
      </w:tr>
      <w:tr w:rsidR="00B91BB7" w:rsidRPr="009A57CE" w14:paraId="50E6FC26" w14:textId="77777777" w:rsidTr="009B5AD6">
        <w:tc>
          <w:tcPr>
            <w:tcW w:w="562" w:type="dxa"/>
          </w:tcPr>
          <w:p w14:paraId="72CBEA22" w14:textId="12486115" w:rsidR="00B91BB7" w:rsidRPr="009A57CE" w:rsidRDefault="00B91BB7" w:rsidP="008B766F">
            <w:pPr>
              <w:jc w:val="center"/>
              <w:rPr>
                <w:rFonts w:ascii="Open Sans" w:hAnsi="Open Sans" w:cs="Open Sans"/>
                <w:sz w:val="20"/>
                <w:szCs w:val="20"/>
              </w:rPr>
            </w:pPr>
            <w:r w:rsidRPr="009A57CE">
              <w:rPr>
                <w:rFonts w:ascii="Open Sans" w:hAnsi="Open Sans" w:cs="Open Sans"/>
                <w:sz w:val="20"/>
                <w:szCs w:val="20"/>
              </w:rPr>
              <w:t>5</w:t>
            </w:r>
          </w:p>
        </w:tc>
        <w:tc>
          <w:tcPr>
            <w:tcW w:w="1701" w:type="dxa"/>
          </w:tcPr>
          <w:p w14:paraId="13E20248" w14:textId="1F64F792" w:rsidR="00B91BB7" w:rsidRPr="009A57CE" w:rsidRDefault="005666E9" w:rsidP="008B766F">
            <w:pPr>
              <w:jc w:val="both"/>
              <w:rPr>
                <w:rFonts w:ascii="Open Sans" w:hAnsi="Open Sans" w:cs="Open Sans"/>
                <w:sz w:val="20"/>
                <w:szCs w:val="20"/>
              </w:rPr>
            </w:pPr>
            <w:r w:rsidRPr="005666E9">
              <w:rPr>
                <w:rFonts w:ascii="Open Sans" w:hAnsi="Open Sans" w:cs="Open Sans"/>
                <w:sz w:val="20"/>
                <w:szCs w:val="20"/>
              </w:rPr>
              <w:t>Związek Pracodawców Polska Miedź</w:t>
            </w:r>
          </w:p>
        </w:tc>
        <w:tc>
          <w:tcPr>
            <w:tcW w:w="2694" w:type="dxa"/>
          </w:tcPr>
          <w:p w14:paraId="607E353C" w14:textId="48ABDDC7" w:rsidR="00B91BB7" w:rsidRPr="009E657B" w:rsidRDefault="009E657B" w:rsidP="009E657B">
            <w:pPr>
              <w:jc w:val="both"/>
              <w:rPr>
                <w:rFonts w:ascii="Open Sans" w:hAnsi="Open Sans" w:cs="Open Sans"/>
                <w:sz w:val="20"/>
                <w:szCs w:val="20"/>
              </w:rPr>
            </w:pPr>
            <w:r>
              <w:rPr>
                <w:rFonts w:ascii="Open Sans" w:hAnsi="Open Sans" w:cs="Open Sans"/>
                <w:sz w:val="20"/>
                <w:szCs w:val="20"/>
              </w:rPr>
              <w:t>§ 32 ust. 2 pkt 1</w:t>
            </w:r>
            <w:r>
              <w:rPr>
                <w:rFonts w:ascii="Open Sans" w:hAnsi="Open Sans" w:cs="Open Sans"/>
                <w:sz w:val="20"/>
                <w:szCs w:val="20"/>
                <w:vertAlign w:val="superscript"/>
              </w:rPr>
              <w:t xml:space="preserve">1 </w:t>
            </w:r>
            <w:r w:rsidR="00C11D6A">
              <w:rPr>
                <w:rFonts w:ascii="Open Sans" w:hAnsi="Open Sans" w:cs="Open Sans"/>
                <w:sz w:val="20"/>
                <w:szCs w:val="20"/>
              </w:rPr>
              <w:t>(propozycja dodania nowego przepisu)</w:t>
            </w:r>
          </w:p>
        </w:tc>
        <w:tc>
          <w:tcPr>
            <w:tcW w:w="5103" w:type="dxa"/>
          </w:tcPr>
          <w:p w14:paraId="7DE2E63F" w14:textId="77777777" w:rsidR="00B91BB7" w:rsidRPr="00F03164" w:rsidRDefault="00144AF8" w:rsidP="008B766F">
            <w:pPr>
              <w:jc w:val="both"/>
              <w:rPr>
                <w:rFonts w:ascii="Open Sans" w:hAnsi="Open Sans" w:cs="Open Sans"/>
                <w:sz w:val="20"/>
                <w:szCs w:val="20"/>
              </w:rPr>
            </w:pPr>
            <w:r w:rsidRPr="00F03164">
              <w:rPr>
                <w:rFonts w:ascii="Open Sans" w:hAnsi="Open Sans" w:cs="Open Sans"/>
                <w:sz w:val="20"/>
                <w:szCs w:val="20"/>
              </w:rPr>
              <w:t xml:space="preserve">Zapotrzebowanie na usługi elastyczności w przypadku OSD przemysłowych wygląda zupełnie inaczej niż w przypadku OSD zawodowych. Zakłady przemysłowe, posiadające zarówno własne instalacje odbiorcze jak i własne źródła energii potrafią w ramach zwykłego zarządzania własną infrastrukturą odpowiednio reagować na ograniczenia sieciowe. </w:t>
            </w:r>
            <w:r w:rsidRPr="00F03164">
              <w:rPr>
                <w:rFonts w:ascii="Open Sans" w:hAnsi="Open Sans" w:cs="Open Sans"/>
                <w:sz w:val="20"/>
                <w:szCs w:val="20"/>
              </w:rPr>
              <w:lastRenderedPageBreak/>
              <w:t xml:space="preserve">Zazwyczaj bowiem sieć tych zakładów w większości wykorzystywana jest na potrzeby </w:t>
            </w:r>
            <w:r w:rsidR="00457FCB" w:rsidRPr="00F03164">
              <w:rPr>
                <w:rFonts w:ascii="Open Sans" w:hAnsi="Open Sans" w:cs="Open Sans"/>
                <w:sz w:val="20"/>
                <w:szCs w:val="20"/>
              </w:rPr>
              <w:t>własne. Regulacja własnych poborów i generacji zwykle zatem jest wystarczające – bez potrzeby korzystania z usług zewnętrznych podmiotów (usług elastyczności).</w:t>
            </w:r>
          </w:p>
          <w:p w14:paraId="64CD17A9" w14:textId="41E42AB8" w:rsidR="00457FCB" w:rsidRPr="00F03164" w:rsidRDefault="00457FCB" w:rsidP="008B766F">
            <w:pPr>
              <w:jc w:val="both"/>
              <w:rPr>
                <w:rFonts w:ascii="Open Sans" w:hAnsi="Open Sans" w:cs="Open Sans"/>
                <w:sz w:val="20"/>
                <w:szCs w:val="20"/>
              </w:rPr>
            </w:pPr>
            <w:r w:rsidRPr="00F03164">
              <w:rPr>
                <w:rFonts w:ascii="Open Sans" w:hAnsi="Open Sans" w:cs="Open Sans"/>
                <w:sz w:val="20"/>
                <w:szCs w:val="20"/>
              </w:rPr>
              <w:t>Stąd katalog środków stosowanych przez OSD, w przypadku operatorów zintegrowanych powinien być szerszy niż tych, które mogą prowadzić działalność wyłącznie w obszarze dystrybucji energii elektrycznej.</w:t>
            </w:r>
          </w:p>
        </w:tc>
        <w:tc>
          <w:tcPr>
            <w:tcW w:w="4252" w:type="dxa"/>
          </w:tcPr>
          <w:p w14:paraId="43D4E8C1" w14:textId="77777777" w:rsidR="009E657B" w:rsidRPr="00F03164" w:rsidRDefault="009E657B" w:rsidP="009E657B">
            <w:pPr>
              <w:jc w:val="both"/>
              <w:rPr>
                <w:rFonts w:ascii="Open Sans" w:hAnsi="Open Sans" w:cs="Open Sans"/>
                <w:bCs/>
                <w:i/>
                <w:iCs/>
                <w:sz w:val="20"/>
                <w:szCs w:val="20"/>
              </w:rPr>
            </w:pPr>
            <w:r w:rsidRPr="00F03164">
              <w:rPr>
                <w:rFonts w:ascii="Open Sans" w:hAnsi="Open Sans" w:cs="Open Sans"/>
                <w:bCs/>
                <w:i/>
                <w:iCs/>
                <w:sz w:val="20"/>
                <w:szCs w:val="20"/>
              </w:rPr>
              <w:lastRenderedPageBreak/>
              <w:t xml:space="preserve">2. Operator systemu dystrybucyjnego elektroenergetycznego w okresie od zamknięcia bramki dla międzystrefowego rynku dnia następnego usuwa ograniczenia sieciowe w promieniowej sieci dystrybucyjnej dla każdego okresu rozliczania niezbilansowania, którego dotyczy ta bramka, </w:t>
            </w:r>
            <w:r w:rsidRPr="00F03164">
              <w:rPr>
                <w:rFonts w:ascii="Open Sans" w:hAnsi="Open Sans" w:cs="Open Sans"/>
                <w:bCs/>
                <w:i/>
                <w:iCs/>
                <w:sz w:val="20"/>
                <w:szCs w:val="20"/>
              </w:rPr>
              <w:lastRenderedPageBreak/>
              <w:t>stosując następujące środki zgodnie z zasadami określonymi w instrukcji operatora systemu dystrybucyjnego elektroenergetycznego, o której mowa w art. 9g ust. 1 ustawy:</w:t>
            </w:r>
          </w:p>
          <w:p w14:paraId="59F20329" w14:textId="77777777" w:rsidR="009E657B" w:rsidRPr="00F03164" w:rsidRDefault="009E657B" w:rsidP="009E657B">
            <w:pPr>
              <w:jc w:val="both"/>
              <w:rPr>
                <w:rFonts w:ascii="Open Sans" w:hAnsi="Open Sans" w:cs="Open Sans"/>
                <w:bCs/>
                <w:i/>
                <w:iCs/>
                <w:sz w:val="20"/>
                <w:szCs w:val="20"/>
              </w:rPr>
            </w:pPr>
            <w:r w:rsidRPr="00F03164">
              <w:rPr>
                <w:rFonts w:ascii="Open Sans" w:hAnsi="Open Sans" w:cs="Open Sans"/>
                <w:bCs/>
                <w:i/>
                <w:iCs/>
                <w:sz w:val="20"/>
                <w:szCs w:val="20"/>
              </w:rPr>
              <w:t>1)</w:t>
            </w:r>
            <w:r w:rsidRPr="00F03164">
              <w:rPr>
                <w:rFonts w:ascii="Open Sans" w:hAnsi="Open Sans" w:cs="Open Sans"/>
                <w:bCs/>
                <w:i/>
                <w:iCs/>
                <w:sz w:val="20"/>
                <w:szCs w:val="20"/>
              </w:rPr>
              <w:tab/>
              <w:t>środki topologiczne lub</w:t>
            </w:r>
          </w:p>
          <w:p w14:paraId="07C8F419" w14:textId="34CA0112" w:rsidR="009E657B" w:rsidRPr="00F03164" w:rsidRDefault="009E657B" w:rsidP="009E657B">
            <w:pPr>
              <w:jc w:val="both"/>
              <w:rPr>
                <w:rFonts w:ascii="Open Sans" w:hAnsi="Open Sans" w:cs="Open Sans"/>
                <w:bCs/>
                <w:i/>
                <w:iCs/>
                <w:color w:val="EE0000"/>
                <w:sz w:val="20"/>
                <w:szCs w:val="20"/>
              </w:rPr>
            </w:pPr>
            <w:r w:rsidRPr="00F03164">
              <w:rPr>
                <w:rFonts w:ascii="Open Sans" w:hAnsi="Open Sans" w:cs="Open Sans"/>
                <w:bCs/>
                <w:i/>
                <w:iCs/>
                <w:color w:val="EE0000"/>
                <w:sz w:val="20"/>
                <w:szCs w:val="20"/>
              </w:rPr>
              <w:t>1</w:t>
            </w:r>
            <w:r w:rsidRPr="00F03164">
              <w:rPr>
                <w:rFonts w:ascii="Open Sans" w:hAnsi="Open Sans" w:cs="Open Sans"/>
                <w:bCs/>
                <w:i/>
                <w:iCs/>
                <w:color w:val="EE0000"/>
                <w:sz w:val="20"/>
                <w:szCs w:val="20"/>
                <w:vertAlign w:val="superscript"/>
              </w:rPr>
              <w:t>1</w:t>
            </w:r>
            <w:r w:rsidRPr="00F03164">
              <w:rPr>
                <w:rFonts w:ascii="Open Sans" w:hAnsi="Open Sans" w:cs="Open Sans"/>
                <w:bCs/>
                <w:i/>
                <w:iCs/>
                <w:color w:val="EE0000"/>
                <w:sz w:val="20"/>
                <w:szCs w:val="20"/>
              </w:rPr>
              <w:t>)</w:t>
            </w:r>
            <w:r w:rsidRPr="00F03164">
              <w:rPr>
                <w:rFonts w:ascii="Open Sans" w:hAnsi="Open Sans" w:cs="Open Sans"/>
                <w:bCs/>
                <w:i/>
                <w:iCs/>
                <w:color w:val="EE0000"/>
                <w:sz w:val="20"/>
                <w:szCs w:val="20"/>
              </w:rPr>
              <w:tab/>
              <w:t xml:space="preserve">własny potencjał w zakresie poboru lub wprowadzenia mocy czynnej – w przypadku </w:t>
            </w:r>
            <w:r w:rsidRPr="00F03164">
              <w:rPr>
                <w:rFonts w:ascii="Open Sans" w:hAnsi="Open Sans" w:cs="Open Sans"/>
                <w:i/>
                <w:iCs/>
                <w:color w:val="EE0000"/>
                <w:sz w:val="20"/>
                <w:szCs w:val="20"/>
              </w:rPr>
              <w:t>przedsiębiorstwa energetycznego zajmującego się dystrybucją energii elektrycznej, o którym mowa w art. 9d ust. 7 ustawy,</w:t>
            </w:r>
            <w:r w:rsidR="00144AF8" w:rsidRPr="00F03164">
              <w:rPr>
                <w:rFonts w:ascii="Open Sans" w:hAnsi="Open Sans" w:cs="Open Sans"/>
                <w:i/>
                <w:iCs/>
                <w:color w:val="EE0000"/>
                <w:sz w:val="20"/>
                <w:szCs w:val="20"/>
              </w:rPr>
              <w:t xml:space="preserve"> lub</w:t>
            </w:r>
          </w:p>
          <w:p w14:paraId="34702DF0" w14:textId="77777777" w:rsidR="009E657B" w:rsidRPr="00F03164" w:rsidRDefault="009E657B" w:rsidP="009E657B">
            <w:pPr>
              <w:jc w:val="both"/>
              <w:rPr>
                <w:rFonts w:ascii="Open Sans" w:hAnsi="Open Sans" w:cs="Open Sans"/>
                <w:bCs/>
                <w:i/>
                <w:iCs/>
                <w:sz w:val="20"/>
                <w:szCs w:val="20"/>
              </w:rPr>
            </w:pPr>
            <w:r w:rsidRPr="00F03164">
              <w:rPr>
                <w:rFonts w:ascii="Open Sans" w:hAnsi="Open Sans" w:cs="Open Sans"/>
                <w:bCs/>
                <w:i/>
                <w:iCs/>
                <w:sz w:val="20"/>
                <w:szCs w:val="20"/>
              </w:rPr>
              <w:t>2)</w:t>
            </w:r>
            <w:r w:rsidRPr="00F03164">
              <w:rPr>
                <w:rFonts w:ascii="Open Sans" w:hAnsi="Open Sans" w:cs="Open Sans"/>
                <w:bCs/>
                <w:i/>
                <w:iCs/>
                <w:sz w:val="20"/>
                <w:szCs w:val="20"/>
              </w:rPr>
              <w:tab/>
              <w:t>usługi elastyczności, lub</w:t>
            </w:r>
          </w:p>
          <w:p w14:paraId="4E9F1532" w14:textId="77777777" w:rsidR="009E657B" w:rsidRPr="00F03164" w:rsidRDefault="009E657B" w:rsidP="009E657B">
            <w:pPr>
              <w:jc w:val="both"/>
              <w:rPr>
                <w:rFonts w:ascii="Open Sans" w:hAnsi="Open Sans" w:cs="Open Sans"/>
                <w:bCs/>
                <w:i/>
                <w:iCs/>
                <w:sz w:val="20"/>
                <w:szCs w:val="20"/>
              </w:rPr>
            </w:pPr>
            <w:r w:rsidRPr="00F03164">
              <w:rPr>
                <w:rFonts w:ascii="Open Sans" w:hAnsi="Open Sans" w:cs="Open Sans"/>
                <w:bCs/>
                <w:i/>
                <w:iCs/>
                <w:sz w:val="20"/>
                <w:szCs w:val="20"/>
              </w:rPr>
              <w:t>3)</w:t>
            </w:r>
            <w:r w:rsidRPr="00F03164">
              <w:rPr>
                <w:rFonts w:ascii="Open Sans" w:hAnsi="Open Sans" w:cs="Open Sans"/>
                <w:bCs/>
                <w:i/>
                <w:iCs/>
                <w:sz w:val="20"/>
                <w:szCs w:val="20"/>
              </w:rPr>
              <w:tab/>
              <w:t>jednostronne redysponowanie nierynkowe</w:t>
            </w:r>
          </w:p>
          <w:p w14:paraId="2B119892" w14:textId="47FD042B" w:rsidR="00B91BB7" w:rsidRPr="00F03164" w:rsidRDefault="009E657B" w:rsidP="009E657B">
            <w:pPr>
              <w:jc w:val="both"/>
              <w:rPr>
                <w:rFonts w:ascii="Open Sans" w:hAnsi="Open Sans" w:cs="Open Sans"/>
                <w:sz w:val="20"/>
                <w:szCs w:val="20"/>
              </w:rPr>
            </w:pPr>
            <w:r w:rsidRPr="00F03164">
              <w:rPr>
                <w:rFonts w:ascii="Open Sans" w:hAnsi="Open Sans" w:cs="Open Sans"/>
                <w:i/>
                <w:iCs/>
                <w:sz w:val="20"/>
                <w:szCs w:val="20"/>
              </w:rPr>
              <w:t>– dążąc do usunięcia wszystkich ograniczeń w ramach planowania pracy promieniowej sieci dystrybucyjnej, przy jednoczesnym minimalizowaniu wpływu tych działań na wolumen usług bilansujących oferowanych przez zasoby przyłączone do promieniowej sieci dystrybucyjnej.</w:t>
            </w:r>
          </w:p>
        </w:tc>
        <w:tc>
          <w:tcPr>
            <w:tcW w:w="1428" w:type="dxa"/>
          </w:tcPr>
          <w:p w14:paraId="5D16DB46" w14:textId="77777777" w:rsidR="00B91BB7" w:rsidRPr="009A57CE" w:rsidRDefault="00B91BB7" w:rsidP="008B766F">
            <w:pPr>
              <w:jc w:val="both"/>
              <w:rPr>
                <w:rFonts w:ascii="Open Sans" w:hAnsi="Open Sans" w:cs="Open Sans"/>
                <w:sz w:val="20"/>
                <w:szCs w:val="20"/>
              </w:rPr>
            </w:pPr>
          </w:p>
        </w:tc>
      </w:tr>
      <w:tr w:rsidR="00B91BB7" w:rsidRPr="009A57CE" w14:paraId="0B5199B1" w14:textId="77777777" w:rsidTr="009B5AD6">
        <w:tc>
          <w:tcPr>
            <w:tcW w:w="562" w:type="dxa"/>
          </w:tcPr>
          <w:p w14:paraId="486410FA" w14:textId="7DC11221" w:rsidR="00B91BB7" w:rsidRPr="009A57CE" w:rsidRDefault="00B91BB7" w:rsidP="008B766F">
            <w:pPr>
              <w:jc w:val="center"/>
              <w:rPr>
                <w:rFonts w:ascii="Open Sans" w:hAnsi="Open Sans" w:cs="Open Sans"/>
                <w:sz w:val="20"/>
                <w:szCs w:val="20"/>
              </w:rPr>
            </w:pPr>
            <w:r w:rsidRPr="009A57CE">
              <w:rPr>
                <w:rFonts w:ascii="Open Sans" w:hAnsi="Open Sans" w:cs="Open Sans"/>
                <w:sz w:val="20"/>
                <w:szCs w:val="20"/>
              </w:rPr>
              <w:t>6</w:t>
            </w:r>
          </w:p>
        </w:tc>
        <w:tc>
          <w:tcPr>
            <w:tcW w:w="1701" w:type="dxa"/>
          </w:tcPr>
          <w:p w14:paraId="41EC1220" w14:textId="7938C3BD" w:rsidR="00B91BB7" w:rsidRPr="009A57CE" w:rsidRDefault="005666E9" w:rsidP="008B766F">
            <w:pPr>
              <w:jc w:val="both"/>
              <w:rPr>
                <w:rFonts w:ascii="Open Sans" w:hAnsi="Open Sans" w:cs="Open Sans"/>
                <w:sz w:val="20"/>
                <w:szCs w:val="20"/>
              </w:rPr>
            </w:pPr>
            <w:r w:rsidRPr="005666E9">
              <w:rPr>
                <w:rFonts w:ascii="Open Sans" w:hAnsi="Open Sans" w:cs="Open Sans"/>
                <w:sz w:val="20"/>
                <w:szCs w:val="20"/>
              </w:rPr>
              <w:t>Związek Pracodawców Polska Miedź</w:t>
            </w:r>
          </w:p>
        </w:tc>
        <w:tc>
          <w:tcPr>
            <w:tcW w:w="2694" w:type="dxa"/>
          </w:tcPr>
          <w:p w14:paraId="18801E29" w14:textId="32C6DABD" w:rsidR="00B91BB7" w:rsidRPr="009A57CE" w:rsidRDefault="00457FCB" w:rsidP="00B21F61">
            <w:pPr>
              <w:ind w:firstLine="41"/>
              <w:rPr>
                <w:rFonts w:ascii="Open Sans" w:hAnsi="Open Sans" w:cs="Open Sans"/>
                <w:sz w:val="20"/>
                <w:szCs w:val="20"/>
              </w:rPr>
            </w:pPr>
            <w:r>
              <w:rPr>
                <w:rFonts w:ascii="Open Sans" w:hAnsi="Open Sans" w:cs="Open Sans"/>
                <w:sz w:val="20"/>
                <w:szCs w:val="20"/>
              </w:rPr>
              <w:t>§38 ust. 1</w:t>
            </w:r>
          </w:p>
        </w:tc>
        <w:tc>
          <w:tcPr>
            <w:tcW w:w="5103" w:type="dxa"/>
          </w:tcPr>
          <w:p w14:paraId="0611B7C8" w14:textId="34DD4E67" w:rsidR="00B91BB7" w:rsidRPr="00F03164" w:rsidRDefault="00B21F61" w:rsidP="008B766F">
            <w:pPr>
              <w:jc w:val="both"/>
              <w:rPr>
                <w:rFonts w:ascii="Open Sans" w:hAnsi="Open Sans" w:cs="Open Sans"/>
                <w:sz w:val="20"/>
                <w:szCs w:val="20"/>
              </w:rPr>
            </w:pPr>
            <w:r w:rsidRPr="00F03164">
              <w:rPr>
                <w:rFonts w:ascii="Open Sans" w:hAnsi="Open Sans" w:cs="Open Sans"/>
                <w:sz w:val="20"/>
                <w:szCs w:val="20"/>
              </w:rPr>
              <w:t xml:space="preserve">Projektowany przepis może budzić wątpliwości co do tego, czy kreuje on obowiązek kontraktowania usług elastyczności, czy tylko wskazuje jeden z możliwych sposób zapewnienia bezpieczeństwa i zwiększenia efektywności rozwoju systemu dystrybucyjnego. Dla usunięcia tej wątpliwości postulujemy zatem wprowadzenie wyraźnej regulacji wskazującej, że OSD nie podlegający </w:t>
            </w:r>
            <w:r w:rsidRPr="00F03164">
              <w:rPr>
                <w:rFonts w:ascii="Open Sans" w:hAnsi="Open Sans" w:cs="Open Sans"/>
                <w:i/>
                <w:iCs/>
                <w:sz w:val="20"/>
                <w:szCs w:val="20"/>
              </w:rPr>
              <w:t>unbundlingowi</w:t>
            </w:r>
            <w:r w:rsidRPr="00F03164">
              <w:rPr>
                <w:rFonts w:ascii="Open Sans" w:hAnsi="Open Sans" w:cs="Open Sans"/>
                <w:sz w:val="20"/>
                <w:szCs w:val="20"/>
              </w:rPr>
              <w:t xml:space="preserve"> może ww. cele w zakresie bezpieczeństwa osiągać przez wykorzystanie własnego potencjału poboru i generacji (oczywiście jeśli taki ma). W przypadku zakładów przemysłowych potencjał ten jest bowiem </w:t>
            </w:r>
            <w:r w:rsidRPr="00F03164">
              <w:rPr>
                <w:rFonts w:ascii="Open Sans" w:hAnsi="Open Sans" w:cs="Open Sans"/>
                <w:sz w:val="20"/>
                <w:szCs w:val="20"/>
              </w:rPr>
              <w:lastRenderedPageBreak/>
              <w:t>dalece większy niż podmiotów przyłączonych do sieci zakładowej.</w:t>
            </w:r>
          </w:p>
        </w:tc>
        <w:tc>
          <w:tcPr>
            <w:tcW w:w="4252" w:type="dxa"/>
          </w:tcPr>
          <w:p w14:paraId="70C41F90" w14:textId="291585C8" w:rsidR="00B91BB7" w:rsidRPr="00F03164" w:rsidRDefault="00457FCB" w:rsidP="008B766F">
            <w:pPr>
              <w:jc w:val="both"/>
              <w:rPr>
                <w:rFonts w:ascii="Open Sans" w:hAnsi="Open Sans" w:cs="Open Sans"/>
                <w:i/>
                <w:iCs/>
                <w:sz w:val="20"/>
                <w:szCs w:val="20"/>
              </w:rPr>
            </w:pPr>
            <w:r w:rsidRPr="00F03164">
              <w:rPr>
                <w:rFonts w:ascii="Open Sans" w:hAnsi="Open Sans" w:cs="Open Sans"/>
                <w:i/>
                <w:iCs/>
                <w:sz w:val="20"/>
                <w:szCs w:val="20"/>
              </w:rPr>
              <w:lastRenderedPageBreak/>
              <w:t>Operator systemu dystrybucyjnego elektroenergetycznego pozyskuje oraz aktywuje usługi elastyczności w celu zapewnienia bezpieczeństwa i zwiększenia efektywności rozwoju systemu dystrybucyjnego, w tym zarządzania ograniczeniami sieciowymi w sieci dystrybucyjnej elektroenergetycznej, z wyłączeniem koordynowanej sieci 110 kV, na podstawie przejrzystych i niedyskryminacyjnych procedur rynkowych.</w:t>
            </w:r>
            <w:r w:rsidR="00B21F61" w:rsidRPr="00F03164">
              <w:rPr>
                <w:rFonts w:ascii="Open Sans" w:hAnsi="Open Sans" w:cs="Open Sans"/>
                <w:i/>
                <w:iCs/>
                <w:sz w:val="20"/>
                <w:szCs w:val="20"/>
              </w:rPr>
              <w:t xml:space="preserve">  </w:t>
            </w:r>
            <w:r w:rsidR="00B21F61" w:rsidRPr="00F03164">
              <w:rPr>
                <w:rFonts w:ascii="Open Sans" w:hAnsi="Open Sans" w:cs="Open Sans"/>
                <w:i/>
                <w:iCs/>
                <w:color w:val="EE0000"/>
                <w:sz w:val="20"/>
                <w:szCs w:val="20"/>
              </w:rPr>
              <w:t xml:space="preserve">Operator systemu dystrybucyjnego elektroenergetycznego będący  </w:t>
            </w:r>
            <w:r w:rsidR="00B21F61" w:rsidRPr="00F03164">
              <w:rPr>
                <w:rFonts w:ascii="Open Sans" w:hAnsi="Open Sans" w:cs="Open Sans"/>
                <w:i/>
                <w:iCs/>
                <w:color w:val="EE0000"/>
                <w:sz w:val="20"/>
                <w:szCs w:val="20"/>
              </w:rPr>
              <w:lastRenderedPageBreak/>
              <w:t xml:space="preserve">przedsiębiorstwem energetycznym, o którym mowa w art. 9d ust. 7 ustawy nie ma obowiązku pozyskiwania oraz aktywowania usługi elastyczności w celu zapewnienia bezpieczeństwa i zwiększenia efektywności rozwoju systemu dystrybucyjnego, jeżeli cel ten jest w stanie zrealizować przy wykorzystaniu </w:t>
            </w:r>
            <w:r w:rsidR="00B21F61" w:rsidRPr="00F03164">
              <w:rPr>
                <w:rFonts w:ascii="Open Sans" w:hAnsi="Open Sans" w:cs="Open Sans"/>
                <w:bCs/>
                <w:i/>
                <w:iCs/>
                <w:color w:val="EE0000"/>
                <w:sz w:val="20"/>
                <w:szCs w:val="20"/>
              </w:rPr>
              <w:t>własnego potencjału w zakresie poboru lub wprowadzenia mocy czynnej.</w:t>
            </w:r>
          </w:p>
        </w:tc>
        <w:tc>
          <w:tcPr>
            <w:tcW w:w="1428" w:type="dxa"/>
          </w:tcPr>
          <w:p w14:paraId="2EFBC216" w14:textId="77777777" w:rsidR="00B91BB7" w:rsidRPr="009A57CE" w:rsidRDefault="00B91BB7" w:rsidP="008B766F">
            <w:pPr>
              <w:jc w:val="both"/>
              <w:rPr>
                <w:rFonts w:ascii="Open Sans" w:hAnsi="Open Sans" w:cs="Open Sans"/>
                <w:sz w:val="20"/>
                <w:szCs w:val="20"/>
              </w:rPr>
            </w:pPr>
          </w:p>
        </w:tc>
      </w:tr>
      <w:tr w:rsidR="00EE71A9" w:rsidRPr="009A57CE" w14:paraId="42DEC354" w14:textId="77777777" w:rsidTr="009B5AD6">
        <w:tc>
          <w:tcPr>
            <w:tcW w:w="562" w:type="dxa"/>
          </w:tcPr>
          <w:p w14:paraId="2CF0EC65" w14:textId="3A81F58D" w:rsidR="00EE71A9" w:rsidRPr="009A57CE" w:rsidRDefault="00C11D6A" w:rsidP="008B766F">
            <w:pPr>
              <w:jc w:val="center"/>
              <w:rPr>
                <w:rFonts w:ascii="Open Sans" w:hAnsi="Open Sans" w:cs="Open Sans"/>
                <w:sz w:val="20"/>
                <w:szCs w:val="20"/>
              </w:rPr>
            </w:pPr>
            <w:r>
              <w:rPr>
                <w:rFonts w:ascii="Open Sans" w:hAnsi="Open Sans" w:cs="Open Sans"/>
                <w:sz w:val="20"/>
                <w:szCs w:val="20"/>
              </w:rPr>
              <w:t>7</w:t>
            </w:r>
          </w:p>
        </w:tc>
        <w:tc>
          <w:tcPr>
            <w:tcW w:w="1701" w:type="dxa"/>
          </w:tcPr>
          <w:p w14:paraId="31A9982A" w14:textId="14977179" w:rsidR="00EE71A9" w:rsidRPr="009A57CE" w:rsidRDefault="005666E9" w:rsidP="008B766F">
            <w:pPr>
              <w:jc w:val="both"/>
              <w:rPr>
                <w:rFonts w:ascii="Open Sans" w:hAnsi="Open Sans" w:cs="Open Sans"/>
                <w:sz w:val="20"/>
                <w:szCs w:val="20"/>
              </w:rPr>
            </w:pPr>
            <w:r w:rsidRPr="005666E9">
              <w:rPr>
                <w:rFonts w:ascii="Open Sans" w:hAnsi="Open Sans" w:cs="Open Sans"/>
                <w:sz w:val="20"/>
                <w:szCs w:val="20"/>
              </w:rPr>
              <w:t>Związek Pracodawców Polska Miedź</w:t>
            </w:r>
          </w:p>
        </w:tc>
        <w:tc>
          <w:tcPr>
            <w:tcW w:w="2694" w:type="dxa"/>
          </w:tcPr>
          <w:p w14:paraId="523F42F2" w14:textId="299848A4" w:rsidR="00EE71A9" w:rsidRDefault="00247F69" w:rsidP="00B21F61">
            <w:pPr>
              <w:ind w:firstLine="41"/>
              <w:rPr>
                <w:rFonts w:ascii="Open Sans" w:hAnsi="Open Sans" w:cs="Open Sans"/>
                <w:sz w:val="20"/>
                <w:szCs w:val="20"/>
              </w:rPr>
            </w:pPr>
            <w:r>
              <w:rPr>
                <w:rFonts w:ascii="Open Sans" w:hAnsi="Open Sans" w:cs="Open Sans"/>
                <w:sz w:val="20"/>
                <w:szCs w:val="20"/>
              </w:rPr>
              <w:t>§ 53 ust. 6</w:t>
            </w:r>
          </w:p>
        </w:tc>
        <w:tc>
          <w:tcPr>
            <w:tcW w:w="5103" w:type="dxa"/>
          </w:tcPr>
          <w:p w14:paraId="76684DE2" w14:textId="77777777" w:rsidR="00247F69" w:rsidRPr="00F03164" w:rsidRDefault="00247F69" w:rsidP="00247F69">
            <w:pPr>
              <w:spacing w:line="276" w:lineRule="auto"/>
              <w:jc w:val="both"/>
              <w:rPr>
                <w:rFonts w:ascii="Open Sans" w:hAnsi="Open Sans" w:cs="Open Sans"/>
                <w:sz w:val="20"/>
                <w:szCs w:val="20"/>
              </w:rPr>
            </w:pPr>
            <w:r w:rsidRPr="00F03164">
              <w:rPr>
                <w:rFonts w:ascii="Open Sans" w:hAnsi="Open Sans" w:cs="Open Sans"/>
                <w:sz w:val="20"/>
                <w:szCs w:val="20"/>
              </w:rPr>
              <w:t>W obecnym stanie prawnym osobno uregulowane zostały ograniczenia w dostawach energii oraz wyłączenia awaryjne. W odniesieniu do tych pierwszych (słusznie) określono katalog podmiotów chronionych przed wstrzymaniem dostaw. W przypadku tych drugich przepisy w żaden wyraźny sposób nie regulują zasad pozbawiania ich zasilania. W konsekwencji rodzi to niezrozumiałą sytuację, w której podmioty o kluczowym znaczeniu dla bezpieczeństwa i obronności państwa, czy też takie, których pozbawienie zasilania może stworzyć ryzyko zagrożenia dla życia lub zdrowia ludzkiego (np. kopalnie), choć są chronione przed ograniczeniami, nie są chronione przed „wyłączeniami” awaryjnymi. Czyni to cały system zabezpieczeń przed zasilaniem dość iluzorycznym.</w:t>
            </w:r>
          </w:p>
          <w:p w14:paraId="1A80DEF3" w14:textId="77777777" w:rsidR="00247F69" w:rsidRPr="00F03164" w:rsidRDefault="00247F69" w:rsidP="00247F69">
            <w:pPr>
              <w:spacing w:line="276" w:lineRule="auto"/>
              <w:jc w:val="both"/>
              <w:rPr>
                <w:rFonts w:ascii="Open Sans" w:hAnsi="Open Sans" w:cs="Open Sans"/>
                <w:sz w:val="20"/>
                <w:szCs w:val="20"/>
              </w:rPr>
            </w:pPr>
          </w:p>
          <w:p w14:paraId="5CF5CFE4" w14:textId="77777777" w:rsidR="00247F69" w:rsidRPr="00F03164" w:rsidRDefault="00247F69" w:rsidP="00247F69">
            <w:pPr>
              <w:spacing w:line="276" w:lineRule="auto"/>
              <w:jc w:val="both"/>
              <w:rPr>
                <w:rFonts w:ascii="Open Sans" w:hAnsi="Open Sans" w:cs="Open Sans"/>
                <w:sz w:val="20"/>
                <w:szCs w:val="20"/>
              </w:rPr>
            </w:pPr>
            <w:r w:rsidRPr="00F03164">
              <w:rPr>
                <w:rFonts w:ascii="Open Sans" w:hAnsi="Open Sans" w:cs="Open Sans"/>
                <w:sz w:val="20"/>
                <w:szCs w:val="20"/>
              </w:rPr>
              <w:t xml:space="preserve">Dla zobrazowania zagadnienia - OSP może wprowadzić przerwy w dostarczaniu i poborze energii elektrycznej w postaci wyłączeń awaryjnych bilansowych zarówno po wprowadzeniu ograniczeń w dostarczaniu i poborze energii elektrycznej w </w:t>
            </w:r>
            <w:r w:rsidRPr="00F03164">
              <w:rPr>
                <w:rFonts w:ascii="Open Sans" w:hAnsi="Open Sans" w:cs="Open Sans"/>
                <w:sz w:val="20"/>
                <w:szCs w:val="20"/>
              </w:rPr>
              <w:lastRenderedPageBreak/>
              <w:t>trybie normalnym lub trybie normalnym na polecenie OSP, jak i przed wprowadzeniem takich ograniczeń, a po ogłoszeniu stanu zagrożenia bezpieczeństwa dostaw energii elektrycznej. Wyłączenia awaryjny bilansowe są realizowane poprzez wyłączenie linii o napięciu 110 kV, transformatorów 110 kV/SN lub linii i stacji SN. Jest to zatem infrastruktura, w oparciu o którą funkcjonuje niemal każdy zakład energochłonny w Polsce (w tym te o kluczowym znaczeniu dla Państwa).</w:t>
            </w:r>
          </w:p>
          <w:p w14:paraId="5D353FD5" w14:textId="77777777" w:rsidR="00247F69" w:rsidRPr="00F03164" w:rsidRDefault="00247F69" w:rsidP="00247F69">
            <w:pPr>
              <w:spacing w:line="276" w:lineRule="auto"/>
              <w:jc w:val="both"/>
              <w:rPr>
                <w:rFonts w:ascii="Open Sans" w:hAnsi="Open Sans" w:cs="Open Sans"/>
                <w:sz w:val="20"/>
                <w:szCs w:val="20"/>
              </w:rPr>
            </w:pPr>
          </w:p>
          <w:p w14:paraId="5EDEBEB2" w14:textId="77777777" w:rsidR="00247F69" w:rsidRPr="00F03164" w:rsidRDefault="00247F69" w:rsidP="00247F69">
            <w:pPr>
              <w:spacing w:line="276" w:lineRule="auto"/>
              <w:jc w:val="both"/>
              <w:rPr>
                <w:rFonts w:ascii="Open Sans" w:hAnsi="Open Sans" w:cs="Open Sans"/>
                <w:sz w:val="20"/>
                <w:szCs w:val="20"/>
              </w:rPr>
            </w:pPr>
            <w:r w:rsidRPr="00F03164">
              <w:rPr>
                <w:rFonts w:ascii="Open Sans" w:hAnsi="Open Sans" w:cs="Open Sans"/>
                <w:sz w:val="20"/>
                <w:szCs w:val="20"/>
              </w:rPr>
              <w:t>Brak normatywnych zasad kaskadowości wyłączeń – stwarza ryzyko, że w sytuacjach awaryjnych, w przypadku dwóch dostępnych opcji wyłączeń - zasilania zostaną pozbawione podmioty, dla których jego utrata niesie katastrofalne konsekwencje (dla życia lub zdrowia ludzkiego, czy też zniszczenia ciągów technologicznych o kluczowym znaczeniu dla krajowej gospodarki).</w:t>
            </w:r>
          </w:p>
          <w:p w14:paraId="22469738" w14:textId="77777777" w:rsidR="00247F69" w:rsidRPr="00F03164" w:rsidRDefault="00247F69" w:rsidP="00247F69">
            <w:pPr>
              <w:spacing w:line="276" w:lineRule="auto"/>
              <w:jc w:val="both"/>
              <w:rPr>
                <w:rFonts w:ascii="Open Sans" w:hAnsi="Open Sans" w:cs="Open Sans"/>
                <w:sz w:val="20"/>
                <w:szCs w:val="20"/>
              </w:rPr>
            </w:pPr>
          </w:p>
          <w:p w14:paraId="5FF826E3" w14:textId="0924100C" w:rsidR="00EE71A9" w:rsidRPr="00F03164" w:rsidRDefault="00247F69" w:rsidP="00247F69">
            <w:pPr>
              <w:jc w:val="both"/>
              <w:rPr>
                <w:rFonts w:ascii="Open Sans" w:hAnsi="Open Sans" w:cs="Open Sans"/>
                <w:sz w:val="20"/>
                <w:szCs w:val="20"/>
              </w:rPr>
            </w:pPr>
            <w:r w:rsidRPr="00F03164">
              <w:rPr>
                <w:rFonts w:ascii="Open Sans" w:hAnsi="Open Sans" w:cs="Open Sans"/>
                <w:sz w:val="20"/>
                <w:szCs w:val="20"/>
              </w:rPr>
              <w:t>Dlatego postulujemy określenie w rozporządzeniu przynajmniej podstawowych zasad ochrony przed wyłączeniami awaryjnymi</w:t>
            </w:r>
          </w:p>
        </w:tc>
        <w:tc>
          <w:tcPr>
            <w:tcW w:w="4252" w:type="dxa"/>
          </w:tcPr>
          <w:p w14:paraId="4DF8BEA9" w14:textId="30536905" w:rsidR="00EE71A9" w:rsidRPr="00F03164" w:rsidRDefault="00EE71A9" w:rsidP="008B766F">
            <w:pPr>
              <w:jc w:val="both"/>
              <w:rPr>
                <w:rFonts w:ascii="Open Sans" w:hAnsi="Open Sans" w:cs="Open Sans"/>
                <w:i/>
                <w:iCs/>
                <w:sz w:val="20"/>
                <w:szCs w:val="20"/>
              </w:rPr>
            </w:pPr>
            <w:r w:rsidRPr="00F03164">
              <w:rPr>
                <w:rFonts w:ascii="Open Sans" w:hAnsi="Open Sans" w:cs="Open Sans"/>
                <w:i/>
                <w:iCs/>
                <w:sz w:val="20"/>
                <w:szCs w:val="20"/>
              </w:rPr>
              <w:lastRenderedPageBreak/>
              <w:t xml:space="preserve">W przypadku wystąpienia zagrożenia bezpieczeństwa dostaw energii elektrycznej, stanu zagrożenia, stanu zaniku zasilania lub stanu odbudowy systemu operator systemu elektroenergetycznego może dokonać awaryjnych wyłączeń urządzeń, instalacji i sieci w trybie określonym w instrukcji, o której mowa w art. 9g ust. 1 ustawy, niezależnie od czasu trwania przerw, o których mowa w § </w:t>
            </w:r>
            <w:r w:rsidR="00E1785F" w:rsidRPr="00F03164">
              <w:rPr>
                <w:rFonts w:ascii="Open Sans" w:hAnsi="Open Sans" w:cs="Open Sans"/>
                <w:i/>
                <w:iCs/>
                <w:sz w:val="20"/>
                <w:szCs w:val="20"/>
              </w:rPr>
              <w:t>62</w:t>
            </w:r>
            <w:r w:rsidRPr="00F03164">
              <w:rPr>
                <w:rFonts w:ascii="Open Sans" w:hAnsi="Open Sans" w:cs="Open Sans"/>
                <w:i/>
                <w:iCs/>
                <w:sz w:val="20"/>
                <w:szCs w:val="20"/>
              </w:rPr>
              <w:t xml:space="preserve"> ust. 1 i 2. </w:t>
            </w:r>
            <w:r w:rsidRPr="00F03164">
              <w:rPr>
                <w:rFonts w:ascii="Open Sans" w:hAnsi="Open Sans" w:cs="Open Sans"/>
                <w:i/>
                <w:iCs/>
                <w:color w:val="EE0000"/>
                <w:sz w:val="20"/>
                <w:szCs w:val="20"/>
              </w:rPr>
              <w:t xml:space="preserve">Wyłączenia nie powinny powodować </w:t>
            </w:r>
            <w:r w:rsidRPr="00F03164">
              <w:rPr>
                <w:rFonts w:ascii="Open Sans" w:eastAsia="Times New Roman" w:hAnsi="Open Sans" w:cs="Open Sans"/>
                <w:i/>
                <w:iCs/>
                <w:color w:val="EE0000"/>
                <w:sz w:val="20"/>
                <w:szCs w:val="20"/>
                <w:lang w:eastAsia="pl-PL"/>
              </w:rPr>
              <w:t>bezpośredniego zagrożenia życia lub zdrowia osób ani prowadzić do pozbawienia zasilania odbiorców chronionych na mocy przepisów wydanych na podstawie art. 11 ust. 6 ustawy. O ile jest to możliwe do uniknięcia wyłączenia nie powinny także prowadzić do uszkodzenia lub zniszczenia urządzeń lub ich zespołów - wykorzystywanych bezpośrednio w procesach technologicznych.</w:t>
            </w:r>
          </w:p>
        </w:tc>
        <w:tc>
          <w:tcPr>
            <w:tcW w:w="1428" w:type="dxa"/>
          </w:tcPr>
          <w:p w14:paraId="5AB73E52" w14:textId="77777777" w:rsidR="00EE71A9" w:rsidRPr="009A57CE" w:rsidRDefault="00EE71A9" w:rsidP="008B766F">
            <w:pPr>
              <w:jc w:val="both"/>
              <w:rPr>
                <w:rFonts w:ascii="Open Sans" w:hAnsi="Open Sans" w:cs="Open Sans"/>
                <w:sz w:val="20"/>
                <w:szCs w:val="20"/>
              </w:rPr>
            </w:pPr>
          </w:p>
        </w:tc>
      </w:tr>
      <w:tr w:rsidR="00F03164" w:rsidRPr="009A57CE" w14:paraId="6B8CA1D9" w14:textId="77777777" w:rsidTr="009B5AD6">
        <w:tc>
          <w:tcPr>
            <w:tcW w:w="562" w:type="dxa"/>
          </w:tcPr>
          <w:p w14:paraId="014E2476" w14:textId="2E6005D0" w:rsidR="00F03164" w:rsidRPr="009A57CE" w:rsidRDefault="00C11D6A" w:rsidP="008B766F">
            <w:pPr>
              <w:jc w:val="center"/>
              <w:rPr>
                <w:rFonts w:ascii="Open Sans" w:hAnsi="Open Sans" w:cs="Open Sans"/>
                <w:sz w:val="20"/>
                <w:szCs w:val="20"/>
              </w:rPr>
            </w:pPr>
            <w:r>
              <w:rPr>
                <w:rFonts w:ascii="Open Sans" w:hAnsi="Open Sans" w:cs="Open Sans"/>
                <w:sz w:val="20"/>
                <w:szCs w:val="20"/>
              </w:rPr>
              <w:t>8</w:t>
            </w:r>
          </w:p>
        </w:tc>
        <w:tc>
          <w:tcPr>
            <w:tcW w:w="1701" w:type="dxa"/>
          </w:tcPr>
          <w:p w14:paraId="2DD96A22" w14:textId="2B97C4B1" w:rsidR="00F03164" w:rsidRPr="009A57CE" w:rsidRDefault="005666E9" w:rsidP="008B766F">
            <w:pPr>
              <w:jc w:val="both"/>
              <w:rPr>
                <w:rFonts w:ascii="Open Sans" w:hAnsi="Open Sans" w:cs="Open Sans"/>
                <w:sz w:val="20"/>
                <w:szCs w:val="20"/>
              </w:rPr>
            </w:pPr>
            <w:r w:rsidRPr="005666E9">
              <w:rPr>
                <w:rFonts w:ascii="Open Sans" w:hAnsi="Open Sans" w:cs="Open Sans"/>
                <w:sz w:val="20"/>
                <w:szCs w:val="20"/>
              </w:rPr>
              <w:t>Związek Pracodawców Polska Miedź</w:t>
            </w:r>
          </w:p>
        </w:tc>
        <w:tc>
          <w:tcPr>
            <w:tcW w:w="2694" w:type="dxa"/>
          </w:tcPr>
          <w:p w14:paraId="08C954BA" w14:textId="5695A5F2" w:rsidR="00F03164" w:rsidRDefault="00F03164" w:rsidP="00B21F61">
            <w:pPr>
              <w:ind w:firstLine="41"/>
              <w:rPr>
                <w:rFonts w:ascii="Open Sans" w:hAnsi="Open Sans" w:cs="Open Sans"/>
                <w:sz w:val="20"/>
                <w:szCs w:val="20"/>
              </w:rPr>
            </w:pPr>
            <w:r>
              <w:rPr>
                <w:rFonts w:ascii="Open Sans" w:hAnsi="Open Sans" w:cs="Open Sans"/>
                <w:sz w:val="20"/>
                <w:szCs w:val="20"/>
              </w:rPr>
              <w:t>§ 54 ust. 10</w:t>
            </w:r>
          </w:p>
        </w:tc>
        <w:tc>
          <w:tcPr>
            <w:tcW w:w="5103" w:type="dxa"/>
          </w:tcPr>
          <w:p w14:paraId="0BE77F9A" w14:textId="77777777" w:rsidR="00F03164" w:rsidRPr="00F03164" w:rsidRDefault="00F03164" w:rsidP="00F03164">
            <w:pPr>
              <w:spacing w:line="276" w:lineRule="auto"/>
              <w:jc w:val="both"/>
              <w:rPr>
                <w:rFonts w:ascii="Open Sans" w:hAnsi="Open Sans" w:cs="Open Sans"/>
                <w:sz w:val="20"/>
                <w:szCs w:val="20"/>
              </w:rPr>
            </w:pPr>
            <w:r w:rsidRPr="00F03164">
              <w:rPr>
                <w:rFonts w:ascii="Open Sans" w:hAnsi="Open Sans" w:cs="Open Sans"/>
                <w:sz w:val="20"/>
                <w:szCs w:val="20"/>
              </w:rPr>
              <w:t xml:space="preserve">Instalacja automatyki SCO stwarza zagrożenie nie tylko katastrofy środowiskowej, ale także pozbawianie zasilania obiektów uznanych za kluczowe dla bezpieczeństwa kraju. W przypadku tych ostatnich nagła utrata zasilania może powodować nie tylko zagrożenia bezpieczeństwa osób, ale także wielomiesięczne wyłączenia produkcyjne, związane z przerwanymi procesami </w:t>
            </w:r>
            <w:r w:rsidRPr="00F03164">
              <w:rPr>
                <w:rFonts w:ascii="Open Sans" w:hAnsi="Open Sans" w:cs="Open Sans"/>
                <w:sz w:val="20"/>
                <w:szCs w:val="20"/>
              </w:rPr>
              <w:lastRenderedPageBreak/>
              <w:t>technologicznymi i awariami maszyn. Zagadnienie to zyskuje szczególnie na znaczeniu w obecnych czasach, gdy skokowo rośnie zagrożenie cyberataków na infrastrukturę krytyczną.</w:t>
            </w:r>
          </w:p>
          <w:p w14:paraId="4B16E9E5" w14:textId="77777777" w:rsidR="00F03164" w:rsidRPr="00F03164" w:rsidRDefault="00F03164" w:rsidP="00F03164">
            <w:pPr>
              <w:spacing w:line="276" w:lineRule="auto"/>
              <w:jc w:val="both"/>
              <w:rPr>
                <w:rFonts w:ascii="Open Sans" w:hAnsi="Open Sans" w:cs="Open Sans"/>
                <w:sz w:val="20"/>
                <w:szCs w:val="20"/>
              </w:rPr>
            </w:pPr>
          </w:p>
          <w:p w14:paraId="2EC40F4B" w14:textId="4917E3D0" w:rsidR="00F03164" w:rsidRPr="00F03164" w:rsidRDefault="00F03164" w:rsidP="00F03164">
            <w:pPr>
              <w:spacing w:line="276" w:lineRule="auto"/>
              <w:jc w:val="both"/>
              <w:rPr>
                <w:rFonts w:ascii="Open Sans" w:hAnsi="Open Sans" w:cs="Open Sans"/>
                <w:sz w:val="20"/>
                <w:szCs w:val="20"/>
              </w:rPr>
            </w:pPr>
            <w:r w:rsidRPr="00F03164">
              <w:rPr>
                <w:rFonts w:ascii="Open Sans" w:hAnsi="Open Sans" w:cs="Open Sans"/>
                <w:sz w:val="20"/>
                <w:szCs w:val="20"/>
              </w:rPr>
              <w:t>Postulujemy, by w odniesieniu do ww. obiektów decyzja o instalowaniu automatyki SCO mogła być podejmowana indywidualnie, w drodze uzgodnień odbiorcy z OSE, tak by zminimalizować ryzyko samoczynnego wywołania katastrofalnych skutków dla bezpieczeństwa krajowego lub życia ludzkiego.</w:t>
            </w:r>
          </w:p>
        </w:tc>
        <w:tc>
          <w:tcPr>
            <w:tcW w:w="4252" w:type="dxa"/>
          </w:tcPr>
          <w:p w14:paraId="460C1592" w14:textId="77777777" w:rsidR="00F03164" w:rsidRPr="00F03164" w:rsidRDefault="00F03164" w:rsidP="00F03164">
            <w:pPr>
              <w:jc w:val="both"/>
              <w:rPr>
                <w:rFonts w:ascii="Open Sans" w:hAnsi="Open Sans" w:cs="Open Sans"/>
                <w:i/>
                <w:iCs/>
                <w:sz w:val="20"/>
                <w:szCs w:val="20"/>
              </w:rPr>
            </w:pPr>
            <w:r w:rsidRPr="00F03164">
              <w:rPr>
                <w:rFonts w:ascii="Open Sans" w:hAnsi="Open Sans" w:cs="Open Sans"/>
                <w:i/>
                <w:iCs/>
                <w:sz w:val="20"/>
                <w:szCs w:val="20"/>
              </w:rPr>
              <w:lastRenderedPageBreak/>
              <w:t>Operator systemu elektroenergetycznego może zwolnić z obowiązku instalowania i stosowania układu SCO odbiorcę przyłączonego do sieci elektroenergetycznej o napięciu znamionowym równym 110 kV lub wyższym:</w:t>
            </w:r>
          </w:p>
          <w:p w14:paraId="58A46804" w14:textId="565DC73D" w:rsidR="00F03164" w:rsidRPr="00F03164" w:rsidRDefault="00F03164" w:rsidP="00F03164">
            <w:pPr>
              <w:pStyle w:val="Akapitzlist"/>
              <w:numPr>
                <w:ilvl w:val="0"/>
                <w:numId w:val="1"/>
              </w:numPr>
              <w:ind w:hanging="720"/>
              <w:jc w:val="both"/>
              <w:rPr>
                <w:rFonts w:ascii="Open Sans" w:hAnsi="Open Sans" w:cs="Open Sans"/>
                <w:i/>
                <w:iCs/>
                <w:sz w:val="20"/>
                <w:szCs w:val="20"/>
              </w:rPr>
            </w:pPr>
            <w:r w:rsidRPr="00F03164">
              <w:rPr>
                <w:rFonts w:ascii="Open Sans" w:hAnsi="Open Sans" w:cs="Open Sans"/>
                <w:i/>
                <w:iCs/>
                <w:sz w:val="20"/>
                <w:szCs w:val="20"/>
              </w:rPr>
              <w:t xml:space="preserve">uznanego za zakład o zwiększonym ryzyku wystąpienia awarii przemysłowej albo za zakład o dużym </w:t>
            </w:r>
            <w:r w:rsidRPr="00F03164">
              <w:rPr>
                <w:rFonts w:ascii="Open Sans" w:hAnsi="Open Sans" w:cs="Open Sans"/>
                <w:i/>
                <w:iCs/>
                <w:sz w:val="20"/>
                <w:szCs w:val="20"/>
              </w:rPr>
              <w:lastRenderedPageBreak/>
              <w:t>ryzyku wystąpienia awarii przemysłowej w rozumieniu przepisów wydanych na podstawie art. 248 ust. 3 ustawy z dnia 27 kwietnia 2001 r. - Prawo ochrony środowiska (Dz. U. z 2025 r. poz. 647) na wniosek tego odbiorcy.</w:t>
            </w:r>
          </w:p>
          <w:p w14:paraId="36374376" w14:textId="77777777" w:rsidR="00F03164" w:rsidRPr="00F03164" w:rsidRDefault="00F03164" w:rsidP="00F03164">
            <w:pPr>
              <w:pStyle w:val="Akapitzlist"/>
              <w:numPr>
                <w:ilvl w:val="0"/>
                <w:numId w:val="1"/>
              </w:numPr>
              <w:ind w:hanging="720"/>
              <w:jc w:val="both"/>
              <w:rPr>
                <w:rFonts w:ascii="Open Sans" w:hAnsi="Open Sans" w:cs="Open Sans"/>
                <w:i/>
                <w:iCs/>
                <w:color w:val="EE0000"/>
                <w:sz w:val="20"/>
                <w:szCs w:val="20"/>
              </w:rPr>
            </w:pPr>
            <w:r w:rsidRPr="00F03164">
              <w:rPr>
                <w:rFonts w:ascii="Open Sans" w:hAnsi="Open Sans" w:cs="Open Sans"/>
                <w:i/>
                <w:iCs/>
                <w:color w:val="EE0000"/>
                <w:sz w:val="20"/>
                <w:szCs w:val="20"/>
              </w:rPr>
              <w:t>w zakresie jego obiektów i urządzeń znajdujących się w wykazie obiektów szczególnie ważnych dla bezpieczeństwa i obronności państwa prowadzonym zgodnie z</w:t>
            </w:r>
            <w:r w:rsidRPr="00F03164">
              <w:rPr>
                <w:rFonts w:ascii="Open Sans" w:hAnsi="Open Sans" w:cs="Open Sans"/>
                <w:b/>
                <w:bCs/>
                <w:i/>
                <w:iCs/>
                <w:color w:val="EE0000"/>
                <w:sz w:val="20"/>
                <w:szCs w:val="20"/>
              </w:rPr>
              <w:t xml:space="preserve"> </w:t>
            </w:r>
            <w:r w:rsidRPr="00F03164">
              <w:rPr>
                <w:rFonts w:ascii="Open Sans" w:hAnsi="Open Sans" w:cs="Open Sans"/>
                <w:i/>
                <w:iCs/>
                <w:color w:val="EE0000"/>
                <w:sz w:val="20"/>
                <w:szCs w:val="20"/>
              </w:rPr>
              <w:t>przepisami wydanymi na podstawie</w:t>
            </w:r>
            <w:r w:rsidRPr="00F03164">
              <w:rPr>
                <w:rFonts w:ascii="Open Sans" w:hAnsi="Open Sans" w:cs="Open Sans"/>
                <w:b/>
                <w:bCs/>
                <w:i/>
                <w:iCs/>
                <w:color w:val="EE0000"/>
                <w:sz w:val="20"/>
                <w:szCs w:val="20"/>
              </w:rPr>
              <w:t xml:space="preserve"> </w:t>
            </w:r>
            <w:r w:rsidRPr="00F03164">
              <w:rPr>
                <w:rFonts w:ascii="Open Sans" w:hAnsi="Open Sans" w:cs="Open Sans"/>
                <w:i/>
                <w:iCs/>
                <w:color w:val="EE0000"/>
                <w:sz w:val="20"/>
                <w:szCs w:val="20"/>
              </w:rPr>
              <w:t>art. 617 ustawy z dnia 11 marca 2022 r. o obronie Ojczyzny (Dz. U. poz. 655),</w:t>
            </w:r>
          </w:p>
          <w:p w14:paraId="0123CFD3" w14:textId="4064A7D4" w:rsidR="00F03164" w:rsidRPr="00F03164" w:rsidRDefault="00F03164" w:rsidP="00F03164">
            <w:pPr>
              <w:pStyle w:val="Akapitzlist"/>
              <w:numPr>
                <w:ilvl w:val="0"/>
                <w:numId w:val="1"/>
              </w:numPr>
              <w:ind w:hanging="720"/>
              <w:jc w:val="both"/>
              <w:rPr>
                <w:rFonts w:ascii="Open Sans" w:hAnsi="Open Sans" w:cs="Open Sans"/>
                <w:b/>
                <w:bCs/>
                <w:i/>
                <w:iCs/>
                <w:sz w:val="20"/>
                <w:szCs w:val="20"/>
              </w:rPr>
            </w:pPr>
            <w:r w:rsidRPr="00F03164">
              <w:rPr>
                <w:rFonts w:ascii="Open Sans" w:hAnsi="Open Sans" w:cs="Open Sans"/>
                <w:i/>
                <w:iCs/>
                <w:color w:val="EE0000"/>
                <w:sz w:val="20"/>
                <w:szCs w:val="20"/>
              </w:rPr>
              <w:t>w przypadku gdy stosowanie układu SCO może stwarzać realne zagrożenie dla życia lub zdrowia ludzkiego</w:t>
            </w:r>
            <w:r w:rsidRPr="00F03164">
              <w:rPr>
                <w:rFonts w:ascii="Open Sans" w:hAnsi="Open Sans" w:cs="Open Sans"/>
                <w:b/>
                <w:bCs/>
                <w:i/>
                <w:iCs/>
                <w:sz w:val="20"/>
                <w:szCs w:val="20"/>
              </w:rPr>
              <w:t>.</w:t>
            </w:r>
          </w:p>
          <w:p w14:paraId="55E88FD8" w14:textId="77777777" w:rsidR="00F03164" w:rsidRPr="00F03164" w:rsidRDefault="00F03164" w:rsidP="00F03164">
            <w:pPr>
              <w:jc w:val="both"/>
              <w:rPr>
                <w:rFonts w:ascii="Open Sans" w:hAnsi="Open Sans" w:cs="Open Sans"/>
                <w:i/>
                <w:iCs/>
                <w:sz w:val="20"/>
                <w:szCs w:val="20"/>
              </w:rPr>
            </w:pPr>
          </w:p>
          <w:p w14:paraId="328B766B" w14:textId="55E3222B" w:rsidR="00F03164" w:rsidRPr="00F03164" w:rsidRDefault="00F03164" w:rsidP="00F03164">
            <w:pPr>
              <w:jc w:val="both"/>
              <w:rPr>
                <w:rFonts w:ascii="Open Sans" w:hAnsi="Open Sans" w:cs="Open Sans"/>
                <w:i/>
                <w:iCs/>
                <w:sz w:val="20"/>
                <w:szCs w:val="20"/>
              </w:rPr>
            </w:pPr>
            <w:r w:rsidRPr="00F03164">
              <w:rPr>
                <w:rFonts w:ascii="Open Sans" w:hAnsi="Open Sans" w:cs="Open Sans"/>
                <w:i/>
                <w:iCs/>
                <w:sz w:val="20"/>
                <w:szCs w:val="20"/>
              </w:rPr>
              <w:t>Warunkiem udzielenia zwolnienia jest uzgodnienie przez strony planu działania na wypadek wystąpienia stanu zagrożenia, stanu zaniku zasilania lub stanu odbudowy systemu.</w:t>
            </w:r>
          </w:p>
        </w:tc>
        <w:tc>
          <w:tcPr>
            <w:tcW w:w="1428" w:type="dxa"/>
          </w:tcPr>
          <w:p w14:paraId="2B4AB19D" w14:textId="77777777" w:rsidR="00F03164" w:rsidRPr="009A57CE" w:rsidRDefault="00F03164" w:rsidP="008B766F">
            <w:pPr>
              <w:jc w:val="both"/>
              <w:rPr>
                <w:rFonts w:ascii="Open Sans" w:hAnsi="Open Sans" w:cs="Open Sans"/>
                <w:sz w:val="20"/>
                <w:szCs w:val="20"/>
              </w:rPr>
            </w:pPr>
          </w:p>
        </w:tc>
      </w:tr>
      <w:bookmarkEnd w:id="0"/>
    </w:tbl>
    <w:p w14:paraId="4A485AB3" w14:textId="77777777" w:rsidR="00CA2841" w:rsidRPr="009A57CE" w:rsidRDefault="00CA2841" w:rsidP="008B766F">
      <w:pPr>
        <w:spacing w:after="0" w:line="240" w:lineRule="auto"/>
        <w:rPr>
          <w:rFonts w:ascii="Open Sans" w:hAnsi="Open Sans" w:cs="Open Sans"/>
          <w:sz w:val="20"/>
          <w:szCs w:val="20"/>
        </w:rPr>
      </w:pPr>
    </w:p>
    <w:sectPr w:rsidR="00CA2841" w:rsidRPr="009A57CE" w:rsidSect="00B91BB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E6CE" w14:textId="77777777" w:rsidR="008159D5" w:rsidRDefault="008159D5" w:rsidP="00CA2841">
      <w:pPr>
        <w:spacing w:after="0" w:line="240" w:lineRule="auto"/>
      </w:pPr>
      <w:r>
        <w:separator/>
      </w:r>
    </w:p>
  </w:endnote>
  <w:endnote w:type="continuationSeparator" w:id="0">
    <w:p w14:paraId="3FDFBDA6" w14:textId="77777777" w:rsidR="008159D5" w:rsidRDefault="008159D5" w:rsidP="00CA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EB66" w14:textId="77777777" w:rsidR="008159D5" w:rsidRDefault="008159D5" w:rsidP="00CA2841">
      <w:pPr>
        <w:spacing w:after="0" w:line="240" w:lineRule="auto"/>
      </w:pPr>
      <w:r>
        <w:separator/>
      </w:r>
    </w:p>
  </w:footnote>
  <w:footnote w:type="continuationSeparator" w:id="0">
    <w:p w14:paraId="6B792B42" w14:textId="77777777" w:rsidR="008159D5" w:rsidRDefault="008159D5" w:rsidP="00CA2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855C6"/>
    <w:multiLevelType w:val="hybridMultilevel"/>
    <w:tmpl w:val="6EAC5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759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41"/>
    <w:rsid w:val="00053B59"/>
    <w:rsid w:val="000A5B3F"/>
    <w:rsid w:val="000C6040"/>
    <w:rsid w:val="000C65F0"/>
    <w:rsid w:val="00144AF8"/>
    <w:rsid w:val="0019568F"/>
    <w:rsid w:val="001B59B3"/>
    <w:rsid w:val="001B734F"/>
    <w:rsid w:val="001E4824"/>
    <w:rsid w:val="00247F69"/>
    <w:rsid w:val="002B13AC"/>
    <w:rsid w:val="002B5F94"/>
    <w:rsid w:val="00316D21"/>
    <w:rsid w:val="003447A1"/>
    <w:rsid w:val="003B7FA8"/>
    <w:rsid w:val="0041567D"/>
    <w:rsid w:val="00435D45"/>
    <w:rsid w:val="00442349"/>
    <w:rsid w:val="00457FCB"/>
    <w:rsid w:val="004D3E9E"/>
    <w:rsid w:val="004D7F1B"/>
    <w:rsid w:val="004F2D1D"/>
    <w:rsid w:val="005666E9"/>
    <w:rsid w:val="0060317B"/>
    <w:rsid w:val="00634348"/>
    <w:rsid w:val="0065784C"/>
    <w:rsid w:val="006659C8"/>
    <w:rsid w:val="006974ED"/>
    <w:rsid w:val="00753BCC"/>
    <w:rsid w:val="00773DAD"/>
    <w:rsid w:val="007C1A31"/>
    <w:rsid w:val="007F1E23"/>
    <w:rsid w:val="008159D5"/>
    <w:rsid w:val="008255DE"/>
    <w:rsid w:val="00827BDC"/>
    <w:rsid w:val="008570F6"/>
    <w:rsid w:val="0086472E"/>
    <w:rsid w:val="00894E5C"/>
    <w:rsid w:val="008B1756"/>
    <w:rsid w:val="008B766F"/>
    <w:rsid w:val="008F09FD"/>
    <w:rsid w:val="0090574C"/>
    <w:rsid w:val="00912B41"/>
    <w:rsid w:val="009139C5"/>
    <w:rsid w:val="0091562F"/>
    <w:rsid w:val="009A57CE"/>
    <w:rsid w:val="009B5AD6"/>
    <w:rsid w:val="009E504D"/>
    <w:rsid w:val="009E657B"/>
    <w:rsid w:val="009E6D70"/>
    <w:rsid w:val="00AF395E"/>
    <w:rsid w:val="00B0225B"/>
    <w:rsid w:val="00B21F61"/>
    <w:rsid w:val="00B829F8"/>
    <w:rsid w:val="00B91BB7"/>
    <w:rsid w:val="00BF0FD2"/>
    <w:rsid w:val="00C11D6A"/>
    <w:rsid w:val="00C5636C"/>
    <w:rsid w:val="00C85205"/>
    <w:rsid w:val="00C93278"/>
    <w:rsid w:val="00CA2841"/>
    <w:rsid w:val="00CD3075"/>
    <w:rsid w:val="00D11725"/>
    <w:rsid w:val="00D35962"/>
    <w:rsid w:val="00D9738C"/>
    <w:rsid w:val="00DA4D99"/>
    <w:rsid w:val="00DB3610"/>
    <w:rsid w:val="00DD2CC7"/>
    <w:rsid w:val="00E1785F"/>
    <w:rsid w:val="00E40E3D"/>
    <w:rsid w:val="00EB31B4"/>
    <w:rsid w:val="00EC4C43"/>
    <w:rsid w:val="00EE71A9"/>
    <w:rsid w:val="00EF494C"/>
    <w:rsid w:val="00EF5376"/>
    <w:rsid w:val="00F03164"/>
    <w:rsid w:val="00F4161F"/>
    <w:rsid w:val="00FA5C3C"/>
    <w:rsid w:val="00FE3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3F60"/>
  <w15:chartTrackingRefBased/>
  <w15:docId w15:val="{6BE2EF6E-7A57-45BA-8729-04A92DBE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A284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A2841"/>
    <w:rPr>
      <w:sz w:val="20"/>
      <w:szCs w:val="20"/>
    </w:rPr>
  </w:style>
  <w:style w:type="character" w:styleId="Odwoanieprzypisudolnego">
    <w:name w:val="footnote reference"/>
    <w:basedOn w:val="Domylnaczcionkaakapitu"/>
    <w:uiPriority w:val="99"/>
    <w:semiHidden/>
    <w:unhideWhenUsed/>
    <w:rsid w:val="00CA2841"/>
    <w:rPr>
      <w:vertAlign w:val="superscript"/>
    </w:rPr>
  </w:style>
  <w:style w:type="table" w:styleId="Tabela-Siatka">
    <w:name w:val="Table Grid"/>
    <w:basedOn w:val="Standardowy"/>
    <w:uiPriority w:val="39"/>
    <w:rsid w:val="00CA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F2D1D"/>
    <w:rPr>
      <w:sz w:val="16"/>
      <w:szCs w:val="16"/>
    </w:rPr>
  </w:style>
  <w:style w:type="paragraph" w:styleId="Tekstkomentarza">
    <w:name w:val="annotation text"/>
    <w:basedOn w:val="Normalny"/>
    <w:link w:val="TekstkomentarzaZnak"/>
    <w:uiPriority w:val="99"/>
    <w:unhideWhenUsed/>
    <w:rsid w:val="004F2D1D"/>
    <w:pPr>
      <w:spacing w:line="240" w:lineRule="auto"/>
    </w:pPr>
    <w:rPr>
      <w:sz w:val="20"/>
      <w:szCs w:val="20"/>
    </w:rPr>
  </w:style>
  <w:style w:type="character" w:customStyle="1" w:styleId="TekstkomentarzaZnak">
    <w:name w:val="Tekst komentarza Znak"/>
    <w:basedOn w:val="Domylnaczcionkaakapitu"/>
    <w:link w:val="Tekstkomentarza"/>
    <w:uiPriority w:val="99"/>
    <w:rsid w:val="004F2D1D"/>
    <w:rPr>
      <w:sz w:val="20"/>
      <w:szCs w:val="20"/>
    </w:rPr>
  </w:style>
  <w:style w:type="paragraph" w:styleId="Tematkomentarza">
    <w:name w:val="annotation subject"/>
    <w:basedOn w:val="Tekstkomentarza"/>
    <w:next w:val="Tekstkomentarza"/>
    <w:link w:val="TematkomentarzaZnak"/>
    <w:uiPriority w:val="99"/>
    <w:semiHidden/>
    <w:unhideWhenUsed/>
    <w:rsid w:val="004F2D1D"/>
    <w:rPr>
      <w:b/>
      <w:bCs/>
    </w:rPr>
  </w:style>
  <w:style w:type="character" w:customStyle="1" w:styleId="TematkomentarzaZnak">
    <w:name w:val="Temat komentarza Znak"/>
    <w:basedOn w:val="TekstkomentarzaZnak"/>
    <w:link w:val="Tematkomentarza"/>
    <w:uiPriority w:val="99"/>
    <w:semiHidden/>
    <w:rsid w:val="004F2D1D"/>
    <w:rPr>
      <w:b/>
      <w:bCs/>
      <w:sz w:val="20"/>
      <w:szCs w:val="20"/>
    </w:rPr>
  </w:style>
  <w:style w:type="paragraph" w:customStyle="1" w:styleId="PKTpunkt">
    <w:name w:val="PKT – punkt"/>
    <w:uiPriority w:val="13"/>
    <w:qFormat/>
    <w:rsid w:val="00B0225B"/>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B0225B"/>
    <w:pPr>
      <w:ind w:left="986" w:hanging="476"/>
    </w:pPr>
  </w:style>
  <w:style w:type="paragraph" w:styleId="Akapitzlist">
    <w:name w:val="List Paragraph"/>
    <w:basedOn w:val="Normalny"/>
    <w:uiPriority w:val="34"/>
    <w:qFormat/>
    <w:rsid w:val="00F03164"/>
    <w:pPr>
      <w:ind w:left="720"/>
      <w:contextualSpacing/>
    </w:pPr>
    <w:rPr>
      <w:kern w:val="2"/>
      <w14:ligatures w14:val="standardContextual"/>
    </w:rPr>
  </w:style>
  <w:style w:type="character" w:styleId="Hipercze">
    <w:name w:val="Hyperlink"/>
    <w:basedOn w:val="Domylnaczcionkaakapitu"/>
    <w:uiPriority w:val="99"/>
    <w:unhideWhenUsed/>
    <w:rsid w:val="00F031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8A9B-02CF-49B8-B19D-07AFA93A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12</Pages>
  <Words>3143</Words>
  <Characters>18863</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Wójcikiewicz-Kawa Agata</dc:creator>
  <cp:keywords/>
  <dc:description/>
  <cp:lastModifiedBy>Tomasz Kuydowicz</cp:lastModifiedBy>
  <cp:revision>11</cp:revision>
  <dcterms:created xsi:type="dcterms:W3CDTF">2026-06-15T13:42:00Z</dcterms:created>
  <dcterms:modified xsi:type="dcterms:W3CDTF">2026-06-19T11:09:00Z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a5d7e0-a6ae-47b8-8592-eac7f470fba7_Enabled">
    <vt:lpwstr>true</vt:lpwstr>
  </property>
  <property fmtid="{D5CDD505-2E9C-101B-9397-08002B2CF9AE}" pid="3" name="MSIP_Label_fda5d7e0-a6ae-47b8-8592-eac7f470fba7_SetDate">
    <vt:lpwstr>2026-06-16T13:04:09Z</vt:lpwstr>
  </property>
  <property fmtid="{D5CDD505-2E9C-101B-9397-08002B2CF9AE}" pid="4" name="MSIP_Label_fda5d7e0-a6ae-47b8-8592-eac7f470fba7_Method">
    <vt:lpwstr>Standard</vt:lpwstr>
  </property>
  <property fmtid="{D5CDD505-2E9C-101B-9397-08002B2CF9AE}" pid="5" name="MSIP_Label_fda5d7e0-a6ae-47b8-8592-eac7f470fba7_Name">
    <vt:lpwstr>Wewnętrzny - SL2 -bez AI</vt:lpwstr>
  </property>
  <property fmtid="{D5CDD505-2E9C-101B-9397-08002B2CF9AE}" pid="6" name="MSIP_Label_fda5d7e0-a6ae-47b8-8592-eac7f470fba7_SiteId">
    <vt:lpwstr>f583f0e4-0fe2-4e46-8bc7-ff287059e206</vt:lpwstr>
  </property>
  <property fmtid="{D5CDD505-2E9C-101B-9397-08002B2CF9AE}" pid="7" name="MSIP_Label_fda5d7e0-a6ae-47b8-8592-eac7f470fba7_ActionId">
    <vt:lpwstr>2093991e-5cd2-4d43-aed1-403d06d0130b</vt:lpwstr>
  </property>
  <property fmtid="{D5CDD505-2E9C-101B-9397-08002B2CF9AE}" pid="8" name="MSIP_Label_fda5d7e0-a6ae-47b8-8592-eac7f470fba7_ContentBits">
    <vt:lpwstr>0</vt:lpwstr>
  </property>
</Properties>
</file>