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7F7F" w14:textId="77777777" w:rsidR="00BD54B9" w:rsidRPr="00586923" w:rsidRDefault="00BD54B9" w:rsidP="00BD54B9">
      <w:pPr>
        <w:rPr>
          <w:rFonts w:ascii="Arial" w:hAnsi="Arial" w:cs="Arial"/>
        </w:rPr>
      </w:pPr>
      <w:r w:rsidRPr="00586923">
        <w:rPr>
          <w:rFonts w:ascii="Arial" w:hAnsi="Arial" w:cs="Arial"/>
          <w:noProof/>
          <w:lang w:eastAsia="pl-PL"/>
        </w:rPr>
        <w:drawing>
          <wp:inline distT="0" distB="0" distL="0" distR="0" wp14:anchorId="0B6E2F0C" wp14:editId="65B783B3">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2172FA1D" w14:textId="77777777" w:rsidR="00BD54B9" w:rsidRDefault="00BD54B9" w:rsidP="00BD54B9">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52F1EF3E" w14:textId="77777777" w:rsidR="00BD54B9" w:rsidRPr="00586923" w:rsidRDefault="00BD54B9" w:rsidP="00BD54B9">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26740D05" w14:textId="04F4BED2" w:rsidR="00BD54B9" w:rsidRPr="00586923" w:rsidRDefault="00BD54B9" w:rsidP="00BD54B9">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15</w:t>
      </w:r>
      <w:r>
        <w:rPr>
          <w:rFonts w:ascii="Arial" w:hAnsi="Arial" w:cs="Arial"/>
          <w:b/>
        </w:rPr>
        <w:t xml:space="preserve"> </w:t>
      </w:r>
      <w:r w:rsidRPr="00586923">
        <w:rPr>
          <w:rFonts w:ascii="Arial" w:hAnsi="Arial" w:cs="Arial"/>
          <w:b/>
        </w:rPr>
        <w:t xml:space="preserve">do </w:t>
      </w:r>
      <w:r>
        <w:rPr>
          <w:rFonts w:ascii="Arial" w:hAnsi="Arial" w:cs="Arial"/>
          <w:b/>
        </w:rPr>
        <w:t>28 czerwca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4D243715" w14:textId="68E637BD" w:rsidR="00BD54B9" w:rsidRPr="00AC3187" w:rsidRDefault="00BD54B9" w:rsidP="00BD54B9">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3 lipca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0161F84D" w14:textId="77777777" w:rsidR="00BD54B9" w:rsidRPr="00586923" w:rsidRDefault="00BD54B9" w:rsidP="00BD54B9">
      <w:pPr>
        <w:spacing w:after="0" w:line="300" w:lineRule="auto"/>
        <w:jc w:val="both"/>
        <w:rPr>
          <w:rFonts w:ascii="Arial" w:hAnsi="Arial" w:cs="Arial"/>
        </w:rPr>
      </w:pPr>
    </w:p>
    <w:p w14:paraId="267F4305" w14:textId="77777777" w:rsidR="00BD54B9" w:rsidRPr="000B65D1" w:rsidRDefault="00BD54B9" w:rsidP="00BD54B9">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7B3ACE43" w14:textId="77777777" w:rsidR="00BD54B9" w:rsidRDefault="00BD54B9" w:rsidP="00BD54B9">
      <w:pPr>
        <w:spacing w:after="0" w:line="300" w:lineRule="auto"/>
        <w:jc w:val="both"/>
        <w:rPr>
          <w:rFonts w:ascii="Arial" w:hAnsi="Arial" w:cs="Arial"/>
        </w:rPr>
      </w:pPr>
    </w:p>
    <w:p w14:paraId="1A07D591" w14:textId="09A8814D" w:rsidR="00BD54B9" w:rsidRPr="00C70674" w:rsidRDefault="00BD54B9" w:rsidP="00BD54B9">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Pr>
          <w:rFonts w:ascii="Arial" w:eastAsia="Calibri" w:hAnsi="Arial" w:cs="Arial"/>
          <w:bCs/>
        </w:rPr>
        <w:t xml:space="preserve">9 </w:t>
      </w:r>
      <w:r w:rsidRPr="00C70674">
        <w:rPr>
          <w:rFonts w:ascii="Arial" w:eastAsia="Calibri" w:hAnsi="Arial" w:cs="Arial"/>
          <w:bCs/>
        </w:rPr>
        <w:t>projekt</w:t>
      </w:r>
      <w:r>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Pr>
          <w:rFonts w:ascii="Arial" w:hAnsi="Arial" w:cs="Arial"/>
        </w:rPr>
        <w:t xml:space="preserve">43 </w:t>
      </w:r>
      <w:r w:rsidRPr="00C70674">
        <w:rPr>
          <w:rFonts w:ascii="Arial" w:hAnsi="Arial" w:cs="Arial"/>
        </w:rPr>
        <w:t>projekt</w:t>
      </w:r>
      <w:r>
        <w:rPr>
          <w:rFonts w:ascii="Arial" w:hAnsi="Arial" w:cs="Arial"/>
        </w:rPr>
        <w:t>y</w:t>
      </w:r>
      <w:r w:rsidRPr="00C70674">
        <w:rPr>
          <w:rFonts w:ascii="Arial" w:hAnsi="Arial" w:cs="Arial"/>
        </w:rPr>
        <w:t xml:space="preserve"> rozporządzeń Rady Ministrów, Prezesa Rady Ministrów oraz poszczególnych Ministrów.</w:t>
      </w:r>
    </w:p>
    <w:p w14:paraId="3998E93A" w14:textId="77777777" w:rsidR="00BD54B9" w:rsidRPr="00C70674" w:rsidRDefault="00BD54B9" w:rsidP="00BD54B9">
      <w:pPr>
        <w:spacing w:after="0" w:line="300" w:lineRule="auto"/>
        <w:jc w:val="both"/>
        <w:rPr>
          <w:rFonts w:ascii="Arial" w:hAnsi="Arial" w:cs="Arial"/>
        </w:rPr>
      </w:pPr>
    </w:p>
    <w:p w14:paraId="3A382FD6" w14:textId="059A7722" w:rsidR="00BD54B9" w:rsidRDefault="00BD54B9" w:rsidP="00BD54B9">
      <w:pPr>
        <w:spacing w:after="0" w:line="300" w:lineRule="auto"/>
        <w:jc w:val="both"/>
        <w:rPr>
          <w:rFonts w:ascii="Arial" w:hAnsi="Arial" w:cs="Arial"/>
        </w:rPr>
      </w:pPr>
      <w:r>
        <w:rPr>
          <w:rFonts w:ascii="Arial" w:hAnsi="Arial" w:cs="Arial"/>
        </w:rPr>
        <w:t xml:space="preserve">Przeprowadzono konsultacje </w:t>
      </w:r>
      <w:r w:rsidR="005F3751">
        <w:rPr>
          <w:rFonts w:ascii="Arial" w:hAnsi="Arial" w:cs="Arial"/>
        </w:rPr>
        <w:t>2</w:t>
      </w:r>
      <w:r>
        <w:rPr>
          <w:rFonts w:ascii="Arial" w:hAnsi="Arial" w:cs="Arial"/>
        </w:rPr>
        <w:t xml:space="preserve"> projekt</w:t>
      </w:r>
      <w:r w:rsidR="005F3751">
        <w:rPr>
          <w:rFonts w:ascii="Arial" w:hAnsi="Arial" w:cs="Arial"/>
        </w:rPr>
        <w:t>ów</w:t>
      </w:r>
      <w:r>
        <w:rPr>
          <w:rFonts w:ascii="Arial" w:hAnsi="Arial" w:cs="Arial"/>
        </w:rPr>
        <w:t xml:space="preserve"> ustaw</w:t>
      </w:r>
      <w:r w:rsidR="005F3751">
        <w:rPr>
          <w:rFonts w:ascii="Arial" w:hAnsi="Arial" w:cs="Arial"/>
        </w:rPr>
        <w:t xml:space="preserve"> </w:t>
      </w:r>
      <w:r>
        <w:rPr>
          <w:rFonts w:ascii="Arial" w:hAnsi="Arial" w:cs="Arial"/>
        </w:rPr>
        <w:t xml:space="preserve">i </w:t>
      </w:r>
      <w:r w:rsidR="005F3751">
        <w:rPr>
          <w:rFonts w:ascii="Arial" w:hAnsi="Arial" w:cs="Arial"/>
        </w:rPr>
        <w:t>5</w:t>
      </w:r>
      <w:r>
        <w:rPr>
          <w:rFonts w:ascii="Arial" w:hAnsi="Arial" w:cs="Arial"/>
        </w:rPr>
        <w:t xml:space="preserve"> projekt</w:t>
      </w:r>
      <w:r w:rsidR="005F3751">
        <w:rPr>
          <w:rFonts w:ascii="Arial" w:hAnsi="Arial" w:cs="Arial"/>
        </w:rPr>
        <w:t>ów</w:t>
      </w:r>
      <w:r>
        <w:rPr>
          <w:rFonts w:ascii="Arial" w:hAnsi="Arial" w:cs="Arial"/>
        </w:rPr>
        <w:t xml:space="preserve"> rozporządzeń dotyczących podmiotów członkowskich (pracodawcy, przedsiębiorcy, JST) zrzeszonych w Związku. </w:t>
      </w:r>
    </w:p>
    <w:p w14:paraId="188FEF73" w14:textId="77777777" w:rsidR="00BD54B9" w:rsidRDefault="00BD54B9" w:rsidP="00BD54B9">
      <w:pPr>
        <w:spacing w:after="0" w:line="300" w:lineRule="auto"/>
        <w:jc w:val="both"/>
        <w:rPr>
          <w:rFonts w:ascii="Arial" w:hAnsi="Arial" w:cs="Arial"/>
        </w:rPr>
      </w:pPr>
      <w:r>
        <w:rPr>
          <w:rFonts w:ascii="Arial" w:hAnsi="Arial" w:cs="Arial"/>
        </w:rPr>
        <w:t>Do konsultacji przekazane zostały następujące projekty:</w:t>
      </w:r>
    </w:p>
    <w:p w14:paraId="64E1C5EC" w14:textId="77777777" w:rsidR="00BD54B9" w:rsidRDefault="00BD54B9" w:rsidP="00BD54B9">
      <w:pPr>
        <w:spacing w:after="0" w:line="300" w:lineRule="auto"/>
        <w:jc w:val="both"/>
        <w:rPr>
          <w:rFonts w:ascii="Arial" w:hAnsi="Arial" w:cs="Arial"/>
        </w:rPr>
      </w:pPr>
    </w:p>
    <w:p w14:paraId="4472E2F3" w14:textId="77777777" w:rsidR="00BD54B9" w:rsidRDefault="00BD54B9" w:rsidP="00BD54B9">
      <w:pPr>
        <w:spacing w:after="0" w:line="300" w:lineRule="auto"/>
        <w:jc w:val="both"/>
        <w:rPr>
          <w:rFonts w:ascii="Arial" w:hAnsi="Arial" w:cs="Arial"/>
        </w:rPr>
      </w:pPr>
      <w:r>
        <w:rPr>
          <w:rFonts w:ascii="Arial" w:hAnsi="Arial" w:cs="Arial"/>
        </w:rPr>
        <w:t>Projekty ustaw:</w:t>
      </w:r>
    </w:p>
    <w:p w14:paraId="358A3BBC" w14:textId="77777777" w:rsidR="001A1A77" w:rsidRDefault="001A1A77" w:rsidP="00BD54B9">
      <w:pPr>
        <w:spacing w:after="0" w:line="300" w:lineRule="auto"/>
        <w:jc w:val="both"/>
        <w:rPr>
          <w:rFonts w:ascii="Arial" w:hAnsi="Arial" w:cs="Arial"/>
        </w:rPr>
      </w:pPr>
    </w:p>
    <w:p w14:paraId="2C958A25" w14:textId="3933BCD9" w:rsidR="001A1A77" w:rsidRPr="001A1A77" w:rsidRDefault="001A1A77" w:rsidP="00BD54B9">
      <w:pPr>
        <w:pStyle w:val="Akapitzlist"/>
        <w:numPr>
          <w:ilvl w:val="0"/>
          <w:numId w:val="3"/>
        </w:numPr>
        <w:spacing w:after="0" w:line="300" w:lineRule="auto"/>
        <w:jc w:val="both"/>
        <w:rPr>
          <w:rFonts w:ascii="Arial" w:hAnsi="Arial" w:cs="Arial"/>
          <w:b/>
          <w:bCs/>
          <w:u w:val="single"/>
        </w:rPr>
      </w:pPr>
      <w:r w:rsidRPr="001A1A77">
        <w:rPr>
          <w:rFonts w:ascii="Arial" w:hAnsi="Arial" w:cs="Arial"/>
          <w:b/>
          <w:bCs/>
          <w:u w:val="single"/>
        </w:rPr>
        <w:t>P</w:t>
      </w:r>
      <w:r w:rsidRPr="001A1A77">
        <w:rPr>
          <w:rFonts w:ascii="Arial" w:hAnsi="Arial" w:cs="Arial"/>
          <w:b/>
          <w:bCs/>
          <w:u w:val="single"/>
        </w:rPr>
        <w:t>rojekt ustawy o zmianie ustawy o prawach konsumenta oraz niektórych innych ustaw (UC154).</w:t>
      </w:r>
    </w:p>
    <w:p w14:paraId="09E768A4" w14:textId="77777777" w:rsidR="001A1A77" w:rsidRPr="001A1A77" w:rsidRDefault="001A1A77" w:rsidP="001A1A77">
      <w:pPr>
        <w:spacing w:after="0" w:line="300" w:lineRule="auto"/>
        <w:jc w:val="both"/>
        <w:rPr>
          <w:rFonts w:ascii="Arial" w:hAnsi="Arial" w:cs="Arial"/>
        </w:rPr>
      </w:pPr>
    </w:p>
    <w:p w14:paraId="7EB08BD4"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Projekt ustawy o zmianie ustawy o prawach konsumenta oraz niektórych innych ustaw ma na celu transpozycję dyrektywy Parlamentu Europejskiego i Rady (UE) 2024/1799 z dnia 13 czerwca 2024 r. w sprawie wspólnych zasad promujących naprawę towarów oraz zmiany rozporządzenia (UE) 2017/2394 oraz dyrektyw (UE) 2019/771 i (UE) 2020/1828 (tzw. dyrektywa w sprawie prawa do naprawy (ang. </w:t>
      </w:r>
      <w:proofErr w:type="spellStart"/>
      <w:r w:rsidRPr="001A1A77">
        <w:rPr>
          <w:rFonts w:ascii="Arial" w:hAnsi="Arial" w:cs="Arial"/>
        </w:rPr>
        <w:t>right</w:t>
      </w:r>
      <w:proofErr w:type="spellEnd"/>
      <w:r w:rsidRPr="001A1A77">
        <w:rPr>
          <w:rFonts w:ascii="Arial" w:hAnsi="Arial" w:cs="Arial"/>
        </w:rPr>
        <w:t xml:space="preserve"> to </w:t>
      </w:r>
      <w:proofErr w:type="spellStart"/>
      <w:r w:rsidRPr="001A1A77">
        <w:rPr>
          <w:rFonts w:ascii="Arial" w:hAnsi="Arial" w:cs="Arial"/>
        </w:rPr>
        <w:t>repair</w:t>
      </w:r>
      <w:proofErr w:type="spellEnd"/>
      <w:r w:rsidRPr="001A1A77">
        <w:rPr>
          <w:rFonts w:ascii="Arial" w:hAnsi="Arial" w:cs="Arial"/>
        </w:rPr>
        <w:t xml:space="preserve">), dalej jako: „dyrektywa R2R”). Dyrektywa R2R, po jej uchwaleniu, została uzupełniona przez dyrektywę delegowaną Komisji (UE)  2026/74 z dnia 12  stycznia 2026 r. zmieniająca załącznik II do dyrektywy (UE) 2024/1799 Parlamentu Europejskiego i Rady w sprawie wspólnych zasad promujących naprawę towarów w celu uwzględnienia miejscowych ogrzewaczy pomieszczeń do użytku domowego, jak przewidziano w rozporządzeniu Komisji (UE) 2024/1103 w odniesieniu do wymogów dotyczących </w:t>
      </w:r>
      <w:proofErr w:type="spellStart"/>
      <w:r w:rsidRPr="001A1A77">
        <w:rPr>
          <w:rFonts w:ascii="Arial" w:hAnsi="Arial" w:cs="Arial"/>
        </w:rPr>
        <w:t>ekoprojektu</w:t>
      </w:r>
      <w:proofErr w:type="spellEnd"/>
      <w:r w:rsidRPr="001A1A77">
        <w:rPr>
          <w:rFonts w:ascii="Arial" w:hAnsi="Arial" w:cs="Arial"/>
        </w:rPr>
        <w:t xml:space="preserve"> dla miejscowych ogrzewaczy pomieszczeń i oddzielnych powiązanych regulatorów (dalej jako: „dyrektywa delegowana”). </w:t>
      </w:r>
    </w:p>
    <w:p w14:paraId="55F142F1" w14:textId="77777777" w:rsidR="001A1A77" w:rsidRPr="001A1A77" w:rsidRDefault="001A1A77" w:rsidP="001A1A77">
      <w:pPr>
        <w:spacing w:after="0" w:line="300" w:lineRule="auto"/>
        <w:jc w:val="both"/>
        <w:rPr>
          <w:rFonts w:ascii="Arial" w:hAnsi="Arial" w:cs="Arial"/>
        </w:rPr>
      </w:pPr>
      <w:r w:rsidRPr="001A1A77">
        <w:rPr>
          <w:rFonts w:ascii="Arial" w:hAnsi="Arial" w:cs="Arial"/>
        </w:rPr>
        <w:t>Termin transpozycji dyrektywy R2R, zgodnie z jej art. 22 ust. 1, upływa dnia 31 lipca 2026 r. Termin transpozycji dyrektywy delegowanej, zgodnie z jej art. 2 ust. 1, również upływa dnia 31 lipca 2026 roku.</w:t>
      </w:r>
    </w:p>
    <w:p w14:paraId="23A20C5E"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Dyrektywa R2R przewiduje rozwiązania, których celem jest wspieranie konsumentów w wybieraniu naprawy towarów, zamiast przedwczesnego pozbywania się ich. W rezultacie ich </w:t>
      </w:r>
      <w:r w:rsidRPr="001A1A77">
        <w:rPr>
          <w:rFonts w:ascii="Arial" w:hAnsi="Arial" w:cs="Arial"/>
        </w:rPr>
        <w:lastRenderedPageBreak/>
        <w:t>wdrożenie ma przyczyniać się do obniżania kosztów życia konsumentów, poprzez unikanie wydatków związanych z zakupami nowych towarów, na jaki to skutek wskazywała Komisja Europejska w przygotowanej wraz z projektem dyrektywy ocenie skutków regulacji.</w:t>
      </w:r>
    </w:p>
    <w:p w14:paraId="1AC12C72" w14:textId="77777777" w:rsidR="001A1A77" w:rsidRPr="001A1A77" w:rsidRDefault="001A1A77" w:rsidP="001A1A77">
      <w:pPr>
        <w:spacing w:after="0" w:line="300" w:lineRule="auto"/>
        <w:jc w:val="both"/>
        <w:rPr>
          <w:rFonts w:ascii="Arial" w:hAnsi="Arial" w:cs="Arial"/>
        </w:rPr>
      </w:pPr>
      <w:r w:rsidRPr="001A1A77">
        <w:rPr>
          <w:rFonts w:ascii="Arial" w:hAnsi="Arial" w:cs="Arial"/>
        </w:rPr>
        <w:t>Dyrektywa R2R ma na celu również usuwanie barier, które w praktyce zniechęcają do naprawy towarów, takich jak brak informacji o naprawie, słaba dostępność usług, czy utrudnienia techniczne oraz kontraktowe. Ich usuwanie również ma wspierać konsumentów w wybieraniu naprawy, zamiast zakupu nowego towaru.</w:t>
      </w:r>
    </w:p>
    <w:p w14:paraId="7FD2D106" w14:textId="77777777" w:rsidR="001A1A77" w:rsidRPr="001A1A77" w:rsidRDefault="001A1A77" w:rsidP="001A1A77">
      <w:pPr>
        <w:spacing w:after="0" w:line="300" w:lineRule="auto"/>
        <w:jc w:val="both"/>
        <w:rPr>
          <w:rFonts w:ascii="Arial" w:hAnsi="Arial" w:cs="Arial"/>
        </w:rPr>
      </w:pPr>
      <w:r w:rsidRPr="001A1A77">
        <w:rPr>
          <w:rFonts w:ascii="Arial" w:hAnsi="Arial" w:cs="Arial"/>
        </w:rPr>
        <w:t>Wdrożenie przewidzianych w dyrektywie R2R rozwiązań ma jednocześnie przyczynić się do lepszej ochrony środowiska poprzez wydłużenie cyklu życia towarów, obejmującego naprawę i odnawianie, a w rezultacie umożliwić ponowne użycie towarów. Zgodnie z przewidywaniami Komisji Europejskiej, rozwiązania te ograniczą ilość odpadów w</w:t>
      </w:r>
      <w:r w:rsidRPr="001A1A77">
        <w:rPr>
          <w:rFonts w:ascii="Arial" w:hAnsi="Arial" w:cs="Arial"/>
          <w:i/>
        </w:rPr>
        <w:t> </w:t>
      </w:r>
      <w:r w:rsidRPr="001A1A77">
        <w:rPr>
          <w:rFonts w:ascii="Arial" w:hAnsi="Arial" w:cs="Arial"/>
        </w:rPr>
        <w:t xml:space="preserve">postaci nienadającego się już do użytku sprzętu, którego konsument nie decyduje się naprawiać. </w:t>
      </w:r>
    </w:p>
    <w:p w14:paraId="55A9DB8C"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Dyrektywa R2R wprowadza pełną harmonizację zasad promujących naprawę towarów, co oznacza, że państwa członkowskie nie mogą wprowadzać ani utrzymywać w tym obszarze rozwiązań odbiegających od określonych w ww. dyrektywie. Projekt ustawy  wraz z niniejszą Oceną Skutków Regulacji, nie przewiduje rozwiązań wykraczających poza określone we wdrażanej dyrektywie. </w:t>
      </w:r>
    </w:p>
    <w:p w14:paraId="70587A2D" w14:textId="77777777" w:rsidR="001A1A77" w:rsidRPr="001A1A77" w:rsidRDefault="001A1A77" w:rsidP="001A1A77">
      <w:pPr>
        <w:spacing w:after="0" w:line="300" w:lineRule="auto"/>
        <w:jc w:val="both"/>
        <w:rPr>
          <w:rFonts w:ascii="Arial" w:hAnsi="Arial" w:cs="Arial"/>
        </w:rPr>
      </w:pPr>
      <w:r w:rsidRPr="001A1A77">
        <w:rPr>
          <w:rFonts w:ascii="Arial" w:hAnsi="Arial" w:cs="Arial"/>
        </w:rPr>
        <w:t>Dyrektywa R2R, opierając się na opisanych powyżej założeniach, harmonizuje następujące zagadnienia, które państwa członkowskie mają obowiązek wprowadzić do krajowych porządków prawnych:</w:t>
      </w:r>
    </w:p>
    <w:p w14:paraId="0D53F4E8" w14:textId="77777777" w:rsidR="001A1A77" w:rsidRPr="001A1A77" w:rsidRDefault="001A1A77" w:rsidP="001A1A77">
      <w:pPr>
        <w:numPr>
          <w:ilvl w:val="0"/>
          <w:numId w:val="6"/>
        </w:numPr>
        <w:spacing w:after="0" w:line="300" w:lineRule="auto"/>
        <w:jc w:val="both"/>
        <w:rPr>
          <w:rFonts w:ascii="Arial" w:hAnsi="Arial" w:cs="Arial"/>
          <w:bCs/>
        </w:rPr>
      </w:pPr>
      <w:r w:rsidRPr="001A1A77">
        <w:rPr>
          <w:rFonts w:ascii="Arial" w:hAnsi="Arial" w:cs="Arial"/>
          <w:bCs/>
        </w:rPr>
        <w:t>Nowe obowiązki sprzedawcy towarów</w:t>
      </w:r>
    </w:p>
    <w:p w14:paraId="68E712C3" w14:textId="77777777" w:rsidR="001A1A77" w:rsidRPr="001A1A77" w:rsidRDefault="001A1A77" w:rsidP="001A1A77">
      <w:pPr>
        <w:spacing w:after="0" w:line="300" w:lineRule="auto"/>
        <w:jc w:val="both"/>
        <w:rPr>
          <w:rFonts w:ascii="Arial" w:hAnsi="Arial" w:cs="Arial"/>
        </w:rPr>
      </w:pPr>
      <w:bookmarkStart w:id="0" w:name="_Hlk209086772"/>
      <w:r w:rsidRPr="001A1A77">
        <w:rPr>
          <w:rFonts w:ascii="Arial" w:hAnsi="Arial" w:cs="Arial"/>
        </w:rPr>
        <w:t xml:space="preserve">Dyrektywa R2R: </w:t>
      </w:r>
    </w:p>
    <w:p w14:paraId="03C7C2AC" w14:textId="77777777" w:rsidR="001A1A77" w:rsidRPr="001A1A77" w:rsidRDefault="001A1A77" w:rsidP="001A1A77">
      <w:pPr>
        <w:numPr>
          <w:ilvl w:val="0"/>
          <w:numId w:val="7"/>
        </w:numPr>
        <w:spacing w:after="0" w:line="300" w:lineRule="auto"/>
        <w:ind w:left="567" w:hanging="283"/>
        <w:jc w:val="both"/>
        <w:rPr>
          <w:rFonts w:ascii="Arial" w:hAnsi="Arial" w:cs="Arial"/>
          <w:bCs/>
          <w:i/>
        </w:rPr>
      </w:pPr>
      <w:r w:rsidRPr="001A1A77">
        <w:rPr>
          <w:rFonts w:ascii="Arial" w:hAnsi="Arial" w:cs="Arial"/>
          <w:bCs/>
        </w:rPr>
        <w:t>podnosi rangę istniejącej obecnie możliwości naprawy towarów wskazując, że zadeklarowana przez sprzedawcę możliwość naprawy jest odrębną cechą, której niespełnienie może stanowić podstawę do reklamacji, jako element niezgodności towaru z umową (art. 16 pkt 1 dyrektywy R2R);</w:t>
      </w:r>
    </w:p>
    <w:p w14:paraId="2183EF51" w14:textId="77777777" w:rsidR="001A1A77" w:rsidRPr="001A1A77" w:rsidRDefault="001A1A77" w:rsidP="001A1A77">
      <w:pPr>
        <w:numPr>
          <w:ilvl w:val="0"/>
          <w:numId w:val="7"/>
        </w:numPr>
        <w:spacing w:after="0" w:line="300" w:lineRule="auto"/>
        <w:ind w:left="567" w:hanging="283"/>
        <w:jc w:val="both"/>
        <w:rPr>
          <w:rFonts w:ascii="Arial" w:hAnsi="Arial" w:cs="Arial"/>
          <w:bCs/>
        </w:rPr>
      </w:pPr>
      <w:r w:rsidRPr="001A1A77">
        <w:rPr>
          <w:rFonts w:ascii="Arial" w:hAnsi="Arial" w:cs="Arial"/>
          <w:bCs/>
        </w:rPr>
        <w:t>wprowadza zachętę dla konsumentów do dokonywania naprawy, w postaci jednokrotnego wydłużenia o</w:t>
      </w:r>
      <w:r w:rsidRPr="001A1A77">
        <w:rPr>
          <w:rFonts w:ascii="Arial" w:hAnsi="Arial" w:cs="Arial"/>
        </w:rPr>
        <w:t> </w:t>
      </w:r>
      <w:r w:rsidRPr="001A1A77">
        <w:rPr>
          <w:rFonts w:ascii="Arial" w:hAnsi="Arial" w:cs="Arial"/>
          <w:bCs/>
        </w:rPr>
        <w:t>12</w:t>
      </w:r>
      <w:r w:rsidRPr="001A1A77">
        <w:rPr>
          <w:rFonts w:ascii="Arial" w:hAnsi="Arial" w:cs="Arial"/>
        </w:rPr>
        <w:t> </w:t>
      </w:r>
      <w:r w:rsidRPr="001A1A77">
        <w:rPr>
          <w:rFonts w:ascii="Arial" w:hAnsi="Arial" w:cs="Arial"/>
          <w:bCs/>
        </w:rPr>
        <w:t>miesięcy okresu odpowiedzialności sprzedawcy za towar (art. 16 pkt</w:t>
      </w:r>
      <w:r w:rsidRPr="001A1A77">
        <w:rPr>
          <w:rFonts w:ascii="Arial" w:hAnsi="Arial" w:cs="Arial"/>
        </w:rPr>
        <w:t> </w:t>
      </w:r>
      <w:r w:rsidRPr="001A1A77">
        <w:rPr>
          <w:rFonts w:ascii="Arial" w:hAnsi="Arial" w:cs="Arial"/>
          <w:bCs/>
        </w:rPr>
        <w:t>2 dyrektywy R2R);</w:t>
      </w:r>
    </w:p>
    <w:p w14:paraId="5D80BE0E" w14:textId="77777777" w:rsidR="001A1A77" w:rsidRPr="001A1A77" w:rsidRDefault="001A1A77" w:rsidP="001A1A77">
      <w:pPr>
        <w:numPr>
          <w:ilvl w:val="0"/>
          <w:numId w:val="7"/>
        </w:numPr>
        <w:spacing w:after="0" w:line="300" w:lineRule="auto"/>
        <w:ind w:left="567" w:hanging="283"/>
        <w:jc w:val="both"/>
        <w:rPr>
          <w:rFonts w:ascii="Arial" w:hAnsi="Arial" w:cs="Arial"/>
          <w:bCs/>
        </w:rPr>
      </w:pPr>
      <w:r w:rsidRPr="001A1A77">
        <w:rPr>
          <w:rFonts w:ascii="Arial" w:hAnsi="Arial" w:cs="Arial"/>
          <w:bCs/>
        </w:rPr>
        <w:t>nakłada na sprzedawców obowiązek informowania konsumentów o przysługującym im prawie do wyboru między naprawą a wymianą, a także o wynikającym z wyboru naprawy przedłużeniu o dodatkowe 12 miesięcy</w:t>
      </w:r>
      <w:r w:rsidRPr="001A1A77">
        <w:rPr>
          <w:rFonts w:ascii="Arial" w:hAnsi="Arial" w:cs="Arial"/>
        </w:rPr>
        <w:t xml:space="preserve"> </w:t>
      </w:r>
      <w:r w:rsidRPr="001A1A77">
        <w:rPr>
          <w:rFonts w:ascii="Arial" w:hAnsi="Arial" w:cs="Arial"/>
          <w:bCs/>
        </w:rPr>
        <w:t>okresu odpowiedzialności sprzedawcy za towar (art. 16 pkt 3 dyrektywy R2R);</w:t>
      </w:r>
    </w:p>
    <w:p w14:paraId="2F0811CD" w14:textId="77777777" w:rsidR="001A1A77" w:rsidRPr="001A1A77" w:rsidRDefault="001A1A77" w:rsidP="001A1A77">
      <w:pPr>
        <w:numPr>
          <w:ilvl w:val="0"/>
          <w:numId w:val="7"/>
        </w:numPr>
        <w:spacing w:after="0" w:line="300" w:lineRule="auto"/>
        <w:ind w:left="567" w:hanging="283"/>
        <w:jc w:val="both"/>
        <w:rPr>
          <w:rFonts w:ascii="Arial" w:hAnsi="Arial" w:cs="Arial"/>
          <w:bCs/>
        </w:rPr>
      </w:pPr>
      <w:r w:rsidRPr="001A1A77">
        <w:rPr>
          <w:rFonts w:ascii="Arial" w:hAnsi="Arial" w:cs="Arial"/>
          <w:bCs/>
        </w:rPr>
        <w:t xml:space="preserve">umożliwia sprzedawcy </w:t>
      </w:r>
      <w:r w:rsidRPr="001A1A77">
        <w:rPr>
          <w:rFonts w:ascii="Arial" w:hAnsi="Arial" w:cs="Arial"/>
        </w:rPr>
        <w:t>–</w:t>
      </w:r>
      <w:r w:rsidRPr="001A1A77">
        <w:rPr>
          <w:rFonts w:ascii="Arial" w:hAnsi="Arial" w:cs="Arial"/>
          <w:bCs/>
        </w:rPr>
        <w:t xml:space="preserve"> za zgodą konsumenta – uwzględnienie reklamacji konsumenta poprzez dostarczenie towaru poddanego procedurze odnowienia (art. 16 pkt</w:t>
      </w:r>
      <w:r w:rsidRPr="001A1A77">
        <w:rPr>
          <w:rFonts w:ascii="Arial" w:hAnsi="Arial" w:cs="Arial"/>
        </w:rPr>
        <w:t> </w:t>
      </w:r>
      <w:r w:rsidRPr="001A1A77">
        <w:rPr>
          <w:rFonts w:ascii="Arial" w:hAnsi="Arial" w:cs="Arial"/>
          <w:bCs/>
        </w:rPr>
        <w:t xml:space="preserve"> 4 in fine dyrektywy R2R).</w:t>
      </w:r>
    </w:p>
    <w:p w14:paraId="639FC2D5" w14:textId="77777777" w:rsidR="001A1A77" w:rsidRPr="001A1A77" w:rsidRDefault="001A1A77" w:rsidP="001A1A77">
      <w:pPr>
        <w:spacing w:after="0" w:line="300" w:lineRule="auto"/>
        <w:jc w:val="both"/>
        <w:rPr>
          <w:rFonts w:ascii="Arial" w:hAnsi="Arial" w:cs="Arial"/>
          <w:bCs/>
        </w:rPr>
      </w:pPr>
      <w:r w:rsidRPr="001A1A77">
        <w:rPr>
          <w:rFonts w:ascii="Arial" w:hAnsi="Arial" w:cs="Arial"/>
          <w:bCs/>
        </w:rPr>
        <w:t xml:space="preserve">W konsekwencji niezbędne jest uzupełnienie ustawy z dnia 30 maja 2014 r. </w:t>
      </w:r>
      <w:r w:rsidRPr="001A1A77">
        <w:rPr>
          <w:rFonts w:ascii="Arial" w:hAnsi="Arial" w:cs="Arial"/>
          <w:bCs/>
          <w:i/>
        </w:rPr>
        <w:t>o prawach konsumenta</w:t>
      </w:r>
      <w:r w:rsidRPr="001A1A77">
        <w:rPr>
          <w:rFonts w:ascii="Arial" w:hAnsi="Arial" w:cs="Arial"/>
          <w:bCs/>
        </w:rPr>
        <w:t>, w zakresie opisanych powyżej rozwiązań.</w:t>
      </w:r>
    </w:p>
    <w:bookmarkEnd w:id="0"/>
    <w:p w14:paraId="03024BA9" w14:textId="77777777" w:rsidR="001A1A77" w:rsidRPr="001A1A77" w:rsidRDefault="001A1A77" w:rsidP="001A1A77">
      <w:pPr>
        <w:numPr>
          <w:ilvl w:val="0"/>
          <w:numId w:val="6"/>
        </w:numPr>
        <w:spacing w:after="0" w:line="300" w:lineRule="auto"/>
        <w:jc w:val="both"/>
        <w:rPr>
          <w:rFonts w:ascii="Arial" w:hAnsi="Arial" w:cs="Arial"/>
          <w:bCs/>
        </w:rPr>
      </w:pPr>
      <w:r w:rsidRPr="001A1A77">
        <w:rPr>
          <w:rFonts w:ascii="Arial" w:hAnsi="Arial" w:cs="Arial"/>
          <w:bCs/>
        </w:rPr>
        <w:t>Nowe obowiązki producenta towarów</w:t>
      </w:r>
    </w:p>
    <w:p w14:paraId="0A1D438D" w14:textId="77777777" w:rsidR="001A1A77" w:rsidRPr="001A1A77" w:rsidRDefault="001A1A77" w:rsidP="001A1A77">
      <w:pPr>
        <w:spacing w:after="0" w:line="300" w:lineRule="auto"/>
        <w:jc w:val="both"/>
        <w:rPr>
          <w:rFonts w:ascii="Arial" w:hAnsi="Arial" w:cs="Arial"/>
        </w:rPr>
      </w:pPr>
      <w:r w:rsidRPr="001A1A77">
        <w:rPr>
          <w:rFonts w:ascii="Arial" w:hAnsi="Arial" w:cs="Arial"/>
        </w:rPr>
        <w:t>Nowe obowiązki dotyczą producentów:</w:t>
      </w:r>
    </w:p>
    <w:p w14:paraId="1FB531B3"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pralek i pralko-suszarek dla gospodarstw domowych,</w:t>
      </w:r>
    </w:p>
    <w:p w14:paraId="0540505A"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zmywarek do naczyń dla gospodarstw domowych</w:t>
      </w:r>
      <w:r w:rsidRPr="001A1A77">
        <w:rPr>
          <w:rFonts w:ascii="Arial" w:hAnsi="Arial" w:cs="Arial"/>
          <w:bCs/>
          <w:vertAlign w:val="superscript"/>
        </w:rPr>
        <w:t>,</w:t>
      </w:r>
    </w:p>
    <w:p w14:paraId="0F5736FF"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urządzeń chłodniczych,</w:t>
      </w:r>
    </w:p>
    <w:p w14:paraId="1FE58980"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wyświetlaczy elektronicznych,</w:t>
      </w:r>
    </w:p>
    <w:p w14:paraId="43D8BFD1"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lastRenderedPageBreak/>
        <w:t>odkurzaczy,</w:t>
      </w:r>
    </w:p>
    <w:p w14:paraId="6D437B9E"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suszarek bębnowych dla gospodarstw domowych,</w:t>
      </w:r>
    </w:p>
    <w:p w14:paraId="50EA57E1"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 xml:space="preserve">telefonów komórkowych, telefonów bezprzewodowych i komputerów typu </w:t>
      </w:r>
      <w:proofErr w:type="spellStart"/>
      <w:r w:rsidRPr="001A1A77">
        <w:rPr>
          <w:rFonts w:ascii="Arial" w:hAnsi="Arial" w:cs="Arial"/>
          <w:bCs/>
          <w:i/>
        </w:rPr>
        <w:t>slate</w:t>
      </w:r>
      <w:proofErr w:type="spellEnd"/>
      <w:r w:rsidRPr="001A1A77">
        <w:rPr>
          <w:rFonts w:ascii="Arial" w:hAnsi="Arial" w:cs="Arial"/>
          <w:bCs/>
        </w:rPr>
        <w:t>,</w:t>
      </w:r>
    </w:p>
    <w:p w14:paraId="493A39C4"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sprzętu do spawania,</w:t>
      </w:r>
    </w:p>
    <w:p w14:paraId="59C6E4AD"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serwerów i produktów do przechowywania danych,</w:t>
      </w:r>
    </w:p>
    <w:p w14:paraId="3E3F9DD6"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bCs/>
        </w:rPr>
        <w:t>towarów zawierających baterie do lekkich środków transportu takich jak np. skutery i rowery elektryczne,</w:t>
      </w:r>
    </w:p>
    <w:p w14:paraId="2996DE2E" w14:textId="77777777" w:rsidR="001A1A77" w:rsidRPr="001A1A77" w:rsidRDefault="001A1A77" w:rsidP="001A1A77">
      <w:pPr>
        <w:numPr>
          <w:ilvl w:val="0"/>
          <w:numId w:val="8"/>
        </w:numPr>
        <w:spacing w:after="0" w:line="300" w:lineRule="auto"/>
        <w:jc w:val="both"/>
        <w:rPr>
          <w:rFonts w:ascii="Arial" w:hAnsi="Arial" w:cs="Arial"/>
          <w:bCs/>
        </w:rPr>
      </w:pPr>
      <w:r w:rsidRPr="001A1A77">
        <w:rPr>
          <w:rFonts w:ascii="Arial" w:hAnsi="Arial" w:cs="Arial"/>
        </w:rPr>
        <w:t>miejscowych ogrzewaczy pomieszczeń do użytku domowego</w:t>
      </w:r>
      <w:r w:rsidRPr="001A1A77">
        <w:rPr>
          <w:rFonts w:ascii="Arial" w:hAnsi="Arial" w:cs="Arial"/>
          <w:vertAlign w:val="superscript"/>
        </w:rPr>
        <w:t>.</w:t>
      </w:r>
    </w:p>
    <w:p w14:paraId="1BD65079" w14:textId="77777777" w:rsidR="001A1A77" w:rsidRPr="001A1A77" w:rsidRDefault="001A1A77" w:rsidP="001A1A77">
      <w:pPr>
        <w:spacing w:after="0" w:line="300" w:lineRule="auto"/>
        <w:jc w:val="both"/>
        <w:rPr>
          <w:rFonts w:ascii="Arial" w:hAnsi="Arial" w:cs="Arial"/>
          <w:bCs/>
        </w:rPr>
      </w:pPr>
      <w:r w:rsidRPr="001A1A77">
        <w:rPr>
          <w:rFonts w:ascii="Arial" w:hAnsi="Arial" w:cs="Arial"/>
        </w:rPr>
        <w:t>Dyrektywa R2R:</w:t>
      </w:r>
    </w:p>
    <w:p w14:paraId="07D9E98F" w14:textId="77777777" w:rsidR="001A1A77" w:rsidRPr="001A1A77" w:rsidRDefault="001A1A77" w:rsidP="001A1A77">
      <w:pPr>
        <w:numPr>
          <w:ilvl w:val="0"/>
          <w:numId w:val="7"/>
        </w:numPr>
        <w:spacing w:after="0" w:line="300" w:lineRule="auto"/>
        <w:ind w:left="567" w:hanging="283"/>
        <w:jc w:val="both"/>
        <w:rPr>
          <w:rFonts w:ascii="Arial" w:hAnsi="Arial" w:cs="Arial"/>
          <w:bCs/>
        </w:rPr>
      </w:pPr>
      <w:r w:rsidRPr="001A1A77">
        <w:rPr>
          <w:rFonts w:ascii="Arial" w:hAnsi="Arial" w:cs="Arial"/>
          <w:bCs/>
        </w:rPr>
        <w:t xml:space="preserve">wprowadza </w:t>
      </w:r>
      <w:r w:rsidRPr="001A1A77">
        <w:rPr>
          <w:rFonts w:ascii="Arial" w:hAnsi="Arial" w:cs="Arial"/>
        </w:rPr>
        <w:t>obowiązek naprawy ww. towarów, o ile taka naprawa jest możliwa</w:t>
      </w:r>
      <w:r w:rsidRPr="001A1A77">
        <w:rPr>
          <w:rFonts w:ascii="Arial" w:hAnsi="Arial" w:cs="Arial"/>
          <w:b/>
        </w:rPr>
        <w:t xml:space="preserve"> </w:t>
      </w:r>
      <w:r w:rsidRPr="001A1A77">
        <w:rPr>
          <w:rFonts w:ascii="Arial" w:hAnsi="Arial" w:cs="Arial"/>
          <w:bCs/>
        </w:rPr>
        <w:t>(art. 5 ust.</w:t>
      </w:r>
      <w:r w:rsidRPr="001A1A77">
        <w:rPr>
          <w:rFonts w:ascii="Arial" w:hAnsi="Arial" w:cs="Arial"/>
        </w:rPr>
        <w:t> </w:t>
      </w:r>
      <w:r w:rsidRPr="001A1A77">
        <w:rPr>
          <w:rFonts w:ascii="Arial" w:hAnsi="Arial" w:cs="Arial"/>
          <w:bCs/>
        </w:rPr>
        <w:t>1 dyrektywy R2R);</w:t>
      </w:r>
    </w:p>
    <w:p w14:paraId="4DE1BDE2" w14:textId="77777777" w:rsidR="001A1A77" w:rsidRPr="001A1A77" w:rsidRDefault="001A1A77" w:rsidP="001A1A77">
      <w:pPr>
        <w:numPr>
          <w:ilvl w:val="0"/>
          <w:numId w:val="7"/>
        </w:numPr>
        <w:spacing w:after="0" w:line="300" w:lineRule="auto"/>
        <w:ind w:left="567" w:hanging="283"/>
        <w:jc w:val="both"/>
        <w:rPr>
          <w:rFonts w:ascii="Arial" w:hAnsi="Arial" w:cs="Arial"/>
        </w:rPr>
      </w:pPr>
      <w:r w:rsidRPr="001A1A77">
        <w:rPr>
          <w:rFonts w:ascii="Arial" w:hAnsi="Arial" w:cs="Arial"/>
        </w:rPr>
        <w:t>określa zasady dokonywania napraw:</w:t>
      </w:r>
    </w:p>
    <w:p w14:paraId="683E6403" w14:textId="77777777" w:rsidR="001A1A77" w:rsidRPr="001A1A77" w:rsidRDefault="001A1A77" w:rsidP="001A1A77">
      <w:pPr>
        <w:numPr>
          <w:ilvl w:val="0"/>
          <w:numId w:val="9"/>
        </w:numPr>
        <w:spacing w:after="0" w:line="300" w:lineRule="auto"/>
        <w:ind w:left="993" w:hanging="284"/>
        <w:jc w:val="both"/>
        <w:rPr>
          <w:rFonts w:ascii="Arial" w:hAnsi="Arial" w:cs="Arial"/>
        </w:rPr>
      </w:pPr>
      <w:r w:rsidRPr="001A1A77">
        <w:rPr>
          <w:rFonts w:ascii="Arial" w:hAnsi="Arial" w:cs="Arial"/>
        </w:rPr>
        <w:t xml:space="preserve">nieodpłatnie lub w rozsądnej cenie </w:t>
      </w:r>
      <w:r w:rsidRPr="001A1A77">
        <w:rPr>
          <w:rFonts w:ascii="Arial" w:hAnsi="Arial" w:cs="Arial"/>
          <w:bCs/>
        </w:rPr>
        <w:t>(art. 5 ust.</w:t>
      </w:r>
      <w:r w:rsidRPr="001A1A77">
        <w:rPr>
          <w:rFonts w:ascii="Arial" w:hAnsi="Arial" w:cs="Arial"/>
        </w:rPr>
        <w:t> </w:t>
      </w:r>
      <w:r w:rsidRPr="001A1A77">
        <w:rPr>
          <w:rFonts w:ascii="Arial" w:hAnsi="Arial" w:cs="Arial"/>
          <w:bCs/>
        </w:rPr>
        <w:t xml:space="preserve">2 lit. a dyrektywy R2R) </w:t>
      </w:r>
      <w:r w:rsidRPr="001A1A77">
        <w:rPr>
          <w:rFonts w:ascii="Arial" w:hAnsi="Arial" w:cs="Arial"/>
        </w:rPr>
        <w:t>uwzględniającej na przykład koszty pracy, części zamiennych i prowadzenia zakładu naprawczego, a także zwyczajową marżę (motyw 16 preambuły),</w:t>
      </w:r>
    </w:p>
    <w:p w14:paraId="3C8FA9EC" w14:textId="77777777" w:rsidR="001A1A77" w:rsidRPr="001A1A77" w:rsidRDefault="001A1A77" w:rsidP="001A1A77">
      <w:pPr>
        <w:numPr>
          <w:ilvl w:val="0"/>
          <w:numId w:val="9"/>
        </w:numPr>
        <w:spacing w:after="0" w:line="300" w:lineRule="auto"/>
        <w:ind w:left="993" w:hanging="284"/>
        <w:jc w:val="both"/>
        <w:rPr>
          <w:rFonts w:ascii="Arial" w:hAnsi="Arial" w:cs="Arial"/>
        </w:rPr>
      </w:pPr>
      <w:r w:rsidRPr="001A1A77">
        <w:rPr>
          <w:rFonts w:ascii="Arial" w:hAnsi="Arial" w:cs="Arial"/>
        </w:rPr>
        <w:t>w rozsądnym czasie od momentu, w którym ww. towar trafił do producenta lub wybranego przez producenta zakładu naprawczego (art. 5 ust. 2 lit. b dyrektywy R2R);</w:t>
      </w:r>
    </w:p>
    <w:p w14:paraId="6E768C9C" w14:textId="77777777" w:rsidR="001A1A77" w:rsidRPr="001A1A77" w:rsidRDefault="001A1A77" w:rsidP="001A1A77">
      <w:pPr>
        <w:numPr>
          <w:ilvl w:val="0"/>
          <w:numId w:val="10"/>
        </w:numPr>
        <w:spacing w:after="0" w:line="300" w:lineRule="auto"/>
        <w:ind w:left="567" w:hanging="283"/>
        <w:jc w:val="both"/>
        <w:rPr>
          <w:rFonts w:ascii="Arial" w:hAnsi="Arial" w:cs="Arial"/>
        </w:rPr>
      </w:pPr>
      <w:r w:rsidRPr="001A1A77">
        <w:rPr>
          <w:rFonts w:ascii="Arial" w:hAnsi="Arial" w:cs="Arial"/>
        </w:rPr>
        <w:t>przewiduje, że podczas naprawy można nieodpłatnie lub w rozsądnej cenie użyczyć konsumentowi towaru zamiennego (art. 5 ust. 2 lit. c dyrektywy R2R);</w:t>
      </w:r>
    </w:p>
    <w:p w14:paraId="54FD409F" w14:textId="77777777" w:rsidR="001A1A77" w:rsidRPr="001A1A77" w:rsidRDefault="001A1A77" w:rsidP="001A1A77">
      <w:pPr>
        <w:spacing w:after="0" w:line="300" w:lineRule="auto"/>
        <w:jc w:val="both"/>
        <w:rPr>
          <w:rFonts w:ascii="Arial" w:hAnsi="Arial" w:cs="Arial"/>
          <w:bCs/>
        </w:rPr>
      </w:pPr>
      <w:r w:rsidRPr="001A1A77">
        <w:rPr>
          <w:rFonts w:ascii="Arial" w:hAnsi="Arial" w:cs="Arial"/>
        </w:rPr>
        <w:t xml:space="preserve">umożliwia zaoferowanie konsumentowi towaru poddanego procedurze odnowienia w przypadku gdy naprawa jest niemożliwa </w:t>
      </w:r>
      <w:r w:rsidRPr="001A1A77">
        <w:rPr>
          <w:rFonts w:ascii="Arial" w:hAnsi="Arial" w:cs="Arial"/>
          <w:bCs/>
        </w:rPr>
        <w:t>(art.</w:t>
      </w:r>
      <w:r w:rsidRPr="001A1A77">
        <w:rPr>
          <w:rFonts w:ascii="Arial" w:hAnsi="Arial" w:cs="Arial"/>
        </w:rPr>
        <w:t> </w:t>
      </w:r>
      <w:r w:rsidRPr="001A1A77">
        <w:rPr>
          <w:rFonts w:ascii="Arial" w:hAnsi="Arial" w:cs="Arial"/>
          <w:bCs/>
        </w:rPr>
        <w:t>5 ust.</w:t>
      </w:r>
      <w:r w:rsidRPr="001A1A77">
        <w:rPr>
          <w:rFonts w:ascii="Arial" w:hAnsi="Arial" w:cs="Arial"/>
        </w:rPr>
        <w:t> </w:t>
      </w:r>
      <w:r w:rsidRPr="001A1A77">
        <w:rPr>
          <w:rFonts w:ascii="Arial" w:hAnsi="Arial" w:cs="Arial"/>
          <w:bCs/>
        </w:rPr>
        <w:t>2 lit. d dyrektywy R2R).</w:t>
      </w:r>
    </w:p>
    <w:p w14:paraId="12A4E8A9"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W celu wyjaśnienia, czym jest „możliwość naprawy”, o której mowa w dyrektywie R2R, przywołać należy dyrektywę Parlamentu Europejskiego i Rady 2009/125/WE z dnia 21 października 2009 r. ustanawiającą ogólne zasady ustalania wymogów dotyczących </w:t>
      </w:r>
      <w:proofErr w:type="spellStart"/>
      <w:r w:rsidRPr="001A1A77">
        <w:rPr>
          <w:rFonts w:ascii="Arial" w:hAnsi="Arial" w:cs="Arial"/>
        </w:rPr>
        <w:t>ekoprojektu</w:t>
      </w:r>
      <w:proofErr w:type="spellEnd"/>
      <w:r w:rsidRPr="001A1A77">
        <w:rPr>
          <w:rFonts w:ascii="Arial" w:hAnsi="Arial" w:cs="Arial"/>
        </w:rPr>
        <w:t xml:space="preserve"> dla produktów związanych z energią. Na podstawie delegacji do wydawania aktów wykonawczych zawartej w tej dyrektywie Komisja określiła wymogi dotyczące </w:t>
      </w:r>
      <w:proofErr w:type="spellStart"/>
      <w:r w:rsidRPr="001A1A77">
        <w:rPr>
          <w:rFonts w:ascii="Arial" w:hAnsi="Arial" w:cs="Arial"/>
        </w:rPr>
        <w:t>ekoprojektu</w:t>
      </w:r>
      <w:proofErr w:type="spellEnd"/>
      <w:r w:rsidRPr="001A1A77">
        <w:rPr>
          <w:rFonts w:ascii="Arial" w:hAnsi="Arial" w:cs="Arial"/>
        </w:rPr>
        <w:t xml:space="preserve"> dla produktów związanych z energią, które mają znaczący udział w sprzedaży i obrocie handlowym w Unii, wywierają znaczący wpływ na środowisko i wykazują znaczący potencjał w zakresie poprawy tego wpływu poprzez odpowiednie zaprojektowanie, bez powodowania nadmiernych kosztów. Przedmiotowe wymogi określają minimalny czas dostępności części zamiennych, wprowadzają modułowość, możliwość uaktualnienia oraz sposób projektowania i wytwarzania produktu uwzględniający możliwość naprawy. Komisja na podstawie tej delegacji ma kompetencję do wydawania kolejnych aktów wykonawczych, określających wymogi dla kolejnych towarów.</w:t>
      </w:r>
    </w:p>
    <w:p w14:paraId="5B7E4727"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Obowiązek napraw towarów, dla których określono wymogi dotyczące </w:t>
      </w:r>
      <w:proofErr w:type="spellStart"/>
      <w:r w:rsidRPr="001A1A77">
        <w:rPr>
          <w:rFonts w:ascii="Arial" w:hAnsi="Arial" w:cs="Arial"/>
        </w:rPr>
        <w:t>ekoprojektu</w:t>
      </w:r>
      <w:proofErr w:type="spellEnd"/>
      <w:r w:rsidRPr="001A1A77">
        <w:rPr>
          <w:rFonts w:ascii="Arial" w:hAnsi="Arial" w:cs="Arial"/>
        </w:rPr>
        <w:t xml:space="preserve"> (wymienionych powyżej – są to towary, w stosunku do których akty prawne Komisji określiły wymogi dotyczące możliwości naprawy, wymienia je załącznik II dyrektywy R2R) –</w:t>
      </w:r>
      <w:r w:rsidRPr="001A1A77">
        <w:rPr>
          <w:rFonts w:ascii="Arial" w:hAnsi="Arial" w:cs="Arial"/>
          <w:bCs/>
        </w:rPr>
        <w:t xml:space="preserve"> </w:t>
      </w:r>
      <w:r w:rsidRPr="001A1A77">
        <w:rPr>
          <w:rFonts w:ascii="Arial" w:hAnsi="Arial" w:cs="Arial"/>
        </w:rPr>
        <w:t>dalej jako: „towary R2R” –</w:t>
      </w:r>
      <w:r w:rsidRPr="001A1A77">
        <w:rPr>
          <w:rFonts w:ascii="Arial" w:hAnsi="Arial" w:cs="Arial"/>
          <w:bCs/>
        </w:rPr>
        <w:t xml:space="preserve"> </w:t>
      </w:r>
      <w:r w:rsidRPr="001A1A77">
        <w:rPr>
          <w:rFonts w:ascii="Arial" w:hAnsi="Arial" w:cs="Arial"/>
        </w:rPr>
        <w:t xml:space="preserve"> spoczywa na ich producencie, a w przypadku gdy producent nie ma siedziby w żadnym z państw członkowskich – na upoważnionym przedstawicielu. W przypadku braku producenta czy upoważnionego przedstawiciela, obowiązek spoczywa na importerze, a w przypadku braku importera – na dystrybutorze. Aby  spełnić obowiązek naprawy ww. podmioty mogą powierzyć jej wykonanie podwykonawcy. </w:t>
      </w:r>
    </w:p>
    <w:p w14:paraId="167C8002" w14:textId="77777777" w:rsidR="001A1A77" w:rsidRPr="001A1A77" w:rsidRDefault="001A1A77" w:rsidP="001A1A77">
      <w:pPr>
        <w:spacing w:after="0" w:line="300" w:lineRule="auto"/>
        <w:jc w:val="both"/>
        <w:rPr>
          <w:rFonts w:ascii="Arial" w:hAnsi="Arial" w:cs="Arial"/>
        </w:rPr>
      </w:pPr>
      <w:bookmarkStart w:id="1" w:name="_Hlk211584497"/>
      <w:r w:rsidRPr="001A1A77">
        <w:rPr>
          <w:rFonts w:ascii="Arial" w:hAnsi="Arial" w:cs="Arial"/>
        </w:rPr>
        <w:t>Zgodnie z dyrektywą R2R producent dodatkowo będzie obowiązany:</w:t>
      </w:r>
    </w:p>
    <w:p w14:paraId="4147823A" w14:textId="77777777" w:rsidR="001A1A77" w:rsidRPr="001A1A77" w:rsidRDefault="001A1A77" w:rsidP="001A1A77">
      <w:pPr>
        <w:numPr>
          <w:ilvl w:val="1"/>
          <w:numId w:val="11"/>
        </w:numPr>
        <w:spacing w:after="0" w:line="300" w:lineRule="auto"/>
        <w:ind w:left="567" w:hanging="283"/>
        <w:jc w:val="both"/>
        <w:rPr>
          <w:rFonts w:ascii="Arial" w:hAnsi="Arial" w:cs="Arial"/>
        </w:rPr>
      </w:pPr>
      <w:r w:rsidRPr="001A1A77">
        <w:rPr>
          <w:rFonts w:ascii="Arial" w:hAnsi="Arial" w:cs="Arial"/>
        </w:rPr>
        <w:lastRenderedPageBreak/>
        <w:t>projektować i produkować towary R2R w taki sposób, aby nie utrudniać ich naprawy oraz nie uniemożliwiać wykorzystania oryginalnych lub używanych części zamiennych (art. 5 ust. 6 dyrektywy R2R);</w:t>
      </w:r>
    </w:p>
    <w:p w14:paraId="6F5BB911" w14:textId="77777777" w:rsidR="001A1A77" w:rsidRPr="001A1A77" w:rsidRDefault="001A1A77" w:rsidP="001A1A77">
      <w:pPr>
        <w:numPr>
          <w:ilvl w:val="1"/>
          <w:numId w:val="11"/>
        </w:numPr>
        <w:spacing w:after="0" w:line="300" w:lineRule="auto"/>
        <w:ind w:left="567" w:hanging="283"/>
        <w:jc w:val="both"/>
        <w:rPr>
          <w:rFonts w:ascii="Arial" w:hAnsi="Arial" w:cs="Arial"/>
        </w:rPr>
      </w:pPr>
      <w:r w:rsidRPr="001A1A77">
        <w:rPr>
          <w:rFonts w:ascii="Arial" w:hAnsi="Arial" w:cs="Arial"/>
        </w:rPr>
        <w:t>informować o orientacyjnych cenach pobieranych za typową naprawę (art. 5 ust. 5 dyrektywy R2R);</w:t>
      </w:r>
    </w:p>
    <w:p w14:paraId="2CD7C4C0" w14:textId="77777777" w:rsidR="001A1A77" w:rsidRPr="001A1A77" w:rsidRDefault="001A1A77" w:rsidP="001A1A77">
      <w:pPr>
        <w:numPr>
          <w:ilvl w:val="1"/>
          <w:numId w:val="11"/>
        </w:numPr>
        <w:spacing w:after="0" w:line="300" w:lineRule="auto"/>
        <w:ind w:left="567" w:hanging="283"/>
        <w:jc w:val="both"/>
        <w:rPr>
          <w:rFonts w:ascii="Arial" w:hAnsi="Arial" w:cs="Arial"/>
        </w:rPr>
      </w:pPr>
      <w:r w:rsidRPr="001A1A77">
        <w:rPr>
          <w:rFonts w:ascii="Arial" w:hAnsi="Arial" w:cs="Arial"/>
        </w:rPr>
        <w:t>oferować części zamienne i narzędzia służące do naprawy w rozsądnej cenie, która nie zniechęca do dokonania naprawy towarów R2R (art. 5 ust. 4 dyrektywy R2R);</w:t>
      </w:r>
    </w:p>
    <w:p w14:paraId="6CA3D217" w14:textId="77777777" w:rsidR="001A1A77" w:rsidRPr="001A1A77" w:rsidRDefault="001A1A77" w:rsidP="001A1A77">
      <w:pPr>
        <w:numPr>
          <w:ilvl w:val="1"/>
          <w:numId w:val="11"/>
        </w:numPr>
        <w:spacing w:after="0" w:line="300" w:lineRule="auto"/>
        <w:ind w:left="567" w:hanging="283"/>
        <w:jc w:val="both"/>
        <w:rPr>
          <w:rFonts w:ascii="Arial" w:hAnsi="Arial" w:cs="Arial"/>
        </w:rPr>
      </w:pPr>
      <w:r w:rsidRPr="001A1A77">
        <w:rPr>
          <w:rFonts w:ascii="Arial" w:hAnsi="Arial" w:cs="Arial"/>
        </w:rPr>
        <w:t>dokonywać napraw towarów R2R nawet w sytuacji, gdy poprzednia naprawa została wykonana przez inne podmioty zajmujące się naprawą (art. 5 ust. 7 dyrektywy R2R).</w:t>
      </w:r>
    </w:p>
    <w:bookmarkEnd w:id="1"/>
    <w:p w14:paraId="63BF9C1D" w14:textId="77777777" w:rsidR="001A1A77" w:rsidRPr="001A1A77" w:rsidRDefault="001A1A77" w:rsidP="001A1A77">
      <w:pPr>
        <w:spacing w:after="0" w:line="300" w:lineRule="auto"/>
        <w:jc w:val="both"/>
        <w:rPr>
          <w:rFonts w:ascii="Arial" w:hAnsi="Arial" w:cs="Arial"/>
        </w:rPr>
      </w:pPr>
      <w:r w:rsidRPr="001A1A77">
        <w:rPr>
          <w:rFonts w:ascii="Arial" w:hAnsi="Arial" w:cs="Arial"/>
        </w:rPr>
        <w:t>Art. 6 dyrektywy R2R przewiduje, że producent (albo w miejsce producenta - upoważniony przedstawiciel, importer albo dystrybutor), nieodpłatnie udostępnia informacje na temat napraw. Informacje te powinny określać, które towary objęte są zakresem obowiązku naprawy, wskazywać zakres naprawy oraz być udostępniane co najmniej przez cały okres trwania obowiązku naprawy. Dyrektywa nie precyzuje, w jaki sposób producent albo inne zobowiązane podmioty mają wykonywać powyższy obowiązek.</w:t>
      </w:r>
    </w:p>
    <w:p w14:paraId="48D4E3C5" w14:textId="77777777" w:rsidR="001A1A77" w:rsidRPr="001A1A77" w:rsidRDefault="001A1A77" w:rsidP="001A1A77">
      <w:pPr>
        <w:spacing w:after="0" w:line="300" w:lineRule="auto"/>
        <w:jc w:val="both"/>
        <w:rPr>
          <w:rFonts w:ascii="Arial" w:hAnsi="Arial" w:cs="Arial"/>
        </w:rPr>
      </w:pPr>
      <w:r w:rsidRPr="001A1A77">
        <w:rPr>
          <w:rFonts w:ascii="Arial" w:hAnsi="Arial" w:cs="Arial"/>
        </w:rPr>
        <w:t>Opisane powyżej obowiązki sprzedawcy, producenta albo innego zobowiązanego podmiotu wymagają uregulowania w przepisach rangi ustawowej.</w:t>
      </w:r>
    </w:p>
    <w:p w14:paraId="2A32D13D" w14:textId="77777777" w:rsidR="001A1A77" w:rsidRPr="001A1A77" w:rsidRDefault="001A1A77" w:rsidP="001A1A77">
      <w:pPr>
        <w:numPr>
          <w:ilvl w:val="0"/>
          <w:numId w:val="6"/>
        </w:numPr>
        <w:spacing w:after="0" w:line="300" w:lineRule="auto"/>
        <w:jc w:val="both"/>
        <w:rPr>
          <w:rFonts w:ascii="Arial" w:hAnsi="Arial" w:cs="Arial"/>
          <w:bCs/>
        </w:rPr>
      </w:pPr>
      <w:r w:rsidRPr="001A1A77">
        <w:rPr>
          <w:rFonts w:ascii="Arial" w:hAnsi="Arial" w:cs="Arial"/>
          <w:bCs/>
        </w:rPr>
        <w:t>Ułatwienie konsumentom korzystania z napraw oraz promowanie jej wyboru</w:t>
      </w:r>
    </w:p>
    <w:p w14:paraId="7A91CE60" w14:textId="77777777" w:rsidR="001A1A77" w:rsidRPr="001A1A77" w:rsidRDefault="001A1A77" w:rsidP="001A1A77">
      <w:pPr>
        <w:spacing w:after="0" w:line="300" w:lineRule="auto"/>
        <w:jc w:val="both"/>
        <w:rPr>
          <w:rFonts w:ascii="Arial" w:hAnsi="Arial" w:cs="Arial"/>
          <w:bCs/>
        </w:rPr>
      </w:pPr>
      <w:r w:rsidRPr="001A1A77">
        <w:rPr>
          <w:rFonts w:ascii="Arial" w:hAnsi="Arial" w:cs="Arial"/>
          <w:bCs/>
        </w:rPr>
        <w:t>3.1. Europejska platforma internetowa napraw</w:t>
      </w:r>
    </w:p>
    <w:p w14:paraId="46A72213" w14:textId="77777777" w:rsidR="001A1A77" w:rsidRPr="001A1A77" w:rsidRDefault="001A1A77" w:rsidP="001A1A77">
      <w:pPr>
        <w:spacing w:after="0" w:line="300" w:lineRule="auto"/>
        <w:jc w:val="both"/>
        <w:rPr>
          <w:rFonts w:ascii="Arial" w:hAnsi="Arial" w:cs="Arial"/>
        </w:rPr>
      </w:pPr>
      <w:r w:rsidRPr="001A1A77">
        <w:rPr>
          <w:rFonts w:ascii="Arial" w:hAnsi="Arial" w:cs="Arial"/>
        </w:rPr>
        <w:t>Niezależnie od rozwiązań omówionych powyżej dyrektywa R2R wprowadza nowe narzędzie, które ma pomóc konsumentom w odnalezieniu podmiotu wykonującego naprawy oraz w porównaniu ofert napraw.</w:t>
      </w:r>
    </w:p>
    <w:p w14:paraId="14D30DA5" w14:textId="77777777" w:rsidR="001A1A77" w:rsidRPr="001A1A77" w:rsidRDefault="001A1A77" w:rsidP="001A1A77">
      <w:pPr>
        <w:spacing w:after="0" w:line="300" w:lineRule="auto"/>
        <w:jc w:val="both"/>
        <w:rPr>
          <w:rFonts w:ascii="Arial" w:hAnsi="Arial" w:cs="Arial"/>
        </w:rPr>
      </w:pPr>
      <w:r w:rsidRPr="001A1A77">
        <w:rPr>
          <w:rFonts w:ascii="Arial" w:hAnsi="Arial" w:cs="Arial"/>
        </w:rPr>
        <w:t>Przedmiotowe narzędzie będzie przede wszystkim użyteczne dla konsumentów, którzy chcą naprawić towar nieobjęty prawem do naprawy w rozumieniu dyrektywy R2R. Narzędzie to nie jest natomiast rozwiązaniem zaprojektowanym jako kanał zgłaszania przez konsumentów roszczeń wobec przedsiębiorców czy składania reklamacji.</w:t>
      </w:r>
    </w:p>
    <w:p w14:paraId="7FBF2524" w14:textId="77777777" w:rsidR="001A1A77" w:rsidRPr="001A1A77" w:rsidRDefault="001A1A77" w:rsidP="001A1A77">
      <w:pPr>
        <w:spacing w:after="0" w:line="300" w:lineRule="auto"/>
        <w:jc w:val="both"/>
        <w:rPr>
          <w:rFonts w:ascii="Arial" w:hAnsi="Arial" w:cs="Arial"/>
        </w:rPr>
      </w:pPr>
      <w:r w:rsidRPr="001A1A77">
        <w:rPr>
          <w:rFonts w:ascii="Arial" w:hAnsi="Arial" w:cs="Arial"/>
        </w:rPr>
        <w:t>Dyrektywa R2R zakłada utworzenie przez Komisję Europejską europejskiej platformy internetowej napraw</w:t>
      </w:r>
      <w:r w:rsidRPr="001A1A77">
        <w:rPr>
          <w:rFonts w:ascii="Arial" w:hAnsi="Arial" w:cs="Arial"/>
          <w:i/>
        </w:rPr>
        <w:t xml:space="preserve"> </w:t>
      </w:r>
      <w:r w:rsidRPr="001A1A77">
        <w:rPr>
          <w:rFonts w:ascii="Arial" w:hAnsi="Arial" w:cs="Arial"/>
        </w:rPr>
        <w:t xml:space="preserve">(art. 7 dyrektywy R2R), do dnia 31 lipca 2027 r. W ramach tej platformy podmioty prowadzące działalność w zakresie napraw będą mogły zarejestrować się i podawać informacje kontaktowe oraz dotyczące warunków przeprowadzania napraw, zaś konsumenci będą mogli nieodpłatnie korzystać z wyszukiwania takich podmiotów. Docelowo europejska platforma będzie składać się z sekcji krajowych i będzie zintegrowana z portalem „Twoja Europa”. </w:t>
      </w:r>
    </w:p>
    <w:p w14:paraId="6300CABD"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Państwa członkowskie wdrażając dyrektywę R2R muszą dokonać wyboru, czy skorzystają z możliwości utworzenia sekcji krajowej w ramach europejskiej platformy i wyznaczą w związku z tym punkt kontaktowy na potrzeby zarządzania tą sekcją, czy też utworzą bądź będą utrzymywać krajową platformę napraw – poza infrastrukturą informatyczną udostępnioną przez Komisję Europejską. Rejestracja przez podmioty prowadzące działalność w zakresie napraw na platformie europejskiej i krajowej jest dobrowolna. </w:t>
      </w:r>
    </w:p>
    <w:p w14:paraId="306EADD2" w14:textId="77777777" w:rsidR="001A1A77" w:rsidRPr="001A1A77" w:rsidRDefault="001A1A77" w:rsidP="001A1A77">
      <w:pPr>
        <w:spacing w:after="0" w:line="300" w:lineRule="auto"/>
        <w:jc w:val="both"/>
        <w:rPr>
          <w:rFonts w:ascii="Arial" w:hAnsi="Arial" w:cs="Arial"/>
        </w:rPr>
      </w:pPr>
      <w:r w:rsidRPr="001A1A77">
        <w:rPr>
          <w:rFonts w:ascii="Arial" w:hAnsi="Arial" w:cs="Arial"/>
        </w:rPr>
        <w:t>Do dnia 31 lipca 2026 r. (art. 9 dyrektywy R2R) państwa członkowskie mają poinformować Komisję o:</w:t>
      </w:r>
    </w:p>
    <w:p w14:paraId="210F201E" w14:textId="77777777" w:rsidR="001A1A77" w:rsidRPr="001A1A77" w:rsidRDefault="001A1A77" w:rsidP="001A1A77">
      <w:pPr>
        <w:numPr>
          <w:ilvl w:val="1"/>
          <w:numId w:val="11"/>
        </w:numPr>
        <w:spacing w:after="0" w:line="300" w:lineRule="auto"/>
        <w:ind w:left="567" w:hanging="283"/>
        <w:jc w:val="both"/>
        <w:rPr>
          <w:rFonts w:ascii="Arial" w:hAnsi="Arial" w:cs="Arial"/>
        </w:rPr>
      </w:pPr>
      <w:r w:rsidRPr="001A1A77">
        <w:rPr>
          <w:rFonts w:ascii="Arial" w:hAnsi="Arial" w:cs="Arial"/>
        </w:rPr>
        <w:t>krajowym punkcie kontaktowym, który wyznaczyły do celów europejskiej platformy internetowej napraw; albo</w:t>
      </w:r>
    </w:p>
    <w:p w14:paraId="5C4FD5AB" w14:textId="77777777" w:rsidR="001A1A77" w:rsidRPr="001A1A77" w:rsidRDefault="001A1A77" w:rsidP="001A1A77">
      <w:pPr>
        <w:numPr>
          <w:ilvl w:val="1"/>
          <w:numId w:val="11"/>
        </w:numPr>
        <w:spacing w:after="0" w:line="300" w:lineRule="auto"/>
        <w:ind w:left="567" w:hanging="283"/>
        <w:jc w:val="both"/>
        <w:rPr>
          <w:rFonts w:ascii="Arial" w:hAnsi="Arial" w:cs="Arial"/>
        </w:rPr>
      </w:pPr>
      <w:r w:rsidRPr="001A1A77">
        <w:rPr>
          <w:rFonts w:ascii="Arial" w:hAnsi="Arial" w:cs="Arial"/>
        </w:rPr>
        <w:lastRenderedPageBreak/>
        <w:t>krajowych platformach internetowych, które ustanowiły lub ustanowią zgodnie z art. 7 ust. 3 dyrektywy R2R.</w:t>
      </w:r>
    </w:p>
    <w:p w14:paraId="7DC4F8DA"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W zaprojektowaniu platformy europejskiej oraz w zakresie zagadnień dotyczących jej funkcjonowania, Komisję Europejską mają wspierać eksperci wyznaczeni przez państwa członkowskie (art. 8 dyrektywy R2R). </w:t>
      </w:r>
    </w:p>
    <w:p w14:paraId="088BCD71" w14:textId="77777777" w:rsidR="001A1A77" w:rsidRPr="001A1A77" w:rsidRDefault="001A1A77" w:rsidP="001A1A77">
      <w:pPr>
        <w:spacing w:after="0" w:line="300" w:lineRule="auto"/>
        <w:jc w:val="both"/>
        <w:rPr>
          <w:rFonts w:ascii="Arial" w:hAnsi="Arial" w:cs="Arial"/>
        </w:rPr>
      </w:pPr>
      <w:r w:rsidRPr="001A1A77">
        <w:rPr>
          <w:rFonts w:ascii="Arial" w:hAnsi="Arial" w:cs="Arial"/>
        </w:rPr>
        <w:t>Dyrektywa R2R zobowiązuje Komisję Europejską i państwa członkowskie, aby podjęły działania w celu zwiększenia świadomości konsumentów na temat europejskiej platformy internetowej napraw, wskazując jako przykład takich działań umieszczenie na powiązanych krajowych stronach internetowych oznaczenia przekierowującego do europejskiej platformy internetowej lub przeprowadzenie kampanii informacyjnej (art. 7 ust. 8 dyrektywy R2R).</w:t>
      </w:r>
    </w:p>
    <w:p w14:paraId="76552078" w14:textId="77777777" w:rsidR="001A1A77" w:rsidRPr="001A1A77" w:rsidRDefault="001A1A77" w:rsidP="001A1A77">
      <w:pPr>
        <w:spacing w:after="0" w:line="300" w:lineRule="auto"/>
        <w:jc w:val="both"/>
        <w:rPr>
          <w:rFonts w:ascii="Arial" w:hAnsi="Arial" w:cs="Arial"/>
        </w:rPr>
      </w:pPr>
      <w:r w:rsidRPr="001A1A77">
        <w:rPr>
          <w:rFonts w:ascii="Arial" w:hAnsi="Arial" w:cs="Arial"/>
        </w:rPr>
        <w:t>W konsekwencji wdrażając dyrektywę R2R trzeba zdecydować, czy Polska skorzysta z europejskiej platformy czy utworzy własną, oraz odpowiednio – wyznaczyć krajowy punkt kontaktowy do celów platformy europejskiej albo wprowadzić przepisy dotyczące opracowania i prowadzenia platformy krajowej, w tym wskazać podmiot odpowiedzialny za te zadania.</w:t>
      </w:r>
    </w:p>
    <w:p w14:paraId="3ACB932E" w14:textId="77777777" w:rsidR="001A1A77" w:rsidRPr="001A1A77" w:rsidRDefault="001A1A77" w:rsidP="001A1A77">
      <w:pPr>
        <w:spacing w:after="0" w:line="300" w:lineRule="auto"/>
        <w:jc w:val="both"/>
        <w:rPr>
          <w:rFonts w:ascii="Arial" w:hAnsi="Arial" w:cs="Arial"/>
        </w:rPr>
      </w:pPr>
      <w:r w:rsidRPr="001A1A77">
        <w:rPr>
          <w:rFonts w:ascii="Arial" w:hAnsi="Arial" w:cs="Arial"/>
        </w:rPr>
        <w:t>3.2. Europejski formularz informacji o naprawie</w:t>
      </w:r>
    </w:p>
    <w:p w14:paraId="2EDA21A8"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Aby pomóc konsumentom w identyfikacji i wyborze podmiotu prowadzącego działalność w zakresie napraw, dyrektywa R2R wprowadza europejski formularz informacji o naprawie (art. 4 dyrektywy R2R), którego wzór stanowi załącznik I do dyrektywy. Europejski formularz informacji o naprawie ma umożliwić konsumentom ocenę i łatwe porównanie ofert naprawy. </w:t>
      </w:r>
    </w:p>
    <w:p w14:paraId="0149EAA0"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Posługiwanie się formularzem przez przedsiębiorców jest dobrowolne, natomiast jeżeli przedsiębiorca zdecyduje się wykorzystywać formularz, dyrektywa R2R w art. 4 określa warunki oraz konsekwencje prawne posługiwania się nim. </w:t>
      </w:r>
    </w:p>
    <w:p w14:paraId="0BBA9F45"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Przedmiotowy formularz będzie określał m.in. dane służące identyfikacji podmiotu zajmującego się naprawą, wskazanie towaru, charakteru wad podlegających naprawie oraz ceny i czasu naprawy. </w:t>
      </w:r>
    </w:p>
    <w:p w14:paraId="117CD4D1"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Co się tyczy zasad posługiwania się formularzem, w przypadku gdy przedsiębiorca zechce się nim posługiwać, wówczas – na wniosek konsumenta – przekazuje mu wypełniony formularz nieodpłatnie i na trwałym nośniku. Podmiot zajmujący się naprawą jest związany informacjami przekazanymi konsumentowi za pośrednictwem europejskiego formularza informacji o naprawie i nie może zmienić warunków naprawy określonych w przekazanym formularzu przez okres 30 dni kalendarzowych od dnia przekazania go konsumentowi. Strony mogą ten termin wydłużyć. </w:t>
      </w:r>
    </w:p>
    <w:p w14:paraId="7CFCFE1F" w14:textId="77777777" w:rsidR="001A1A77" w:rsidRPr="001A1A77" w:rsidRDefault="001A1A77" w:rsidP="001A1A77">
      <w:pPr>
        <w:spacing w:after="0" w:line="300" w:lineRule="auto"/>
        <w:jc w:val="both"/>
        <w:rPr>
          <w:rFonts w:ascii="Arial" w:hAnsi="Arial" w:cs="Arial"/>
        </w:rPr>
      </w:pPr>
      <w:r w:rsidRPr="001A1A77">
        <w:rPr>
          <w:rFonts w:ascii="Arial" w:hAnsi="Arial" w:cs="Arial"/>
        </w:rPr>
        <w:t>W przypadku gdy konsument akceptuje w okresie ważności formularza warunki określone w europejskim formularzu, podmiot zajmujący się naprawą jest zobowiązany do wykonania naprawy na tych warunkach.</w:t>
      </w:r>
    </w:p>
    <w:p w14:paraId="10ADE98E" w14:textId="77777777" w:rsidR="001A1A77" w:rsidRPr="001A1A77" w:rsidRDefault="001A1A77" w:rsidP="001A1A77">
      <w:pPr>
        <w:spacing w:after="0" w:line="300" w:lineRule="auto"/>
        <w:jc w:val="both"/>
        <w:rPr>
          <w:rFonts w:ascii="Arial" w:hAnsi="Arial" w:cs="Arial"/>
        </w:rPr>
      </w:pPr>
      <w:r w:rsidRPr="001A1A77">
        <w:rPr>
          <w:rFonts w:ascii="Arial" w:hAnsi="Arial" w:cs="Arial"/>
        </w:rPr>
        <w:t>Formularz zapewnia przekazanie informacji przedkontraktowych obejmujących: główne cechy usługi naprawy, dane identyfikujące podmiot zajmujący się naprawą i jego dane kontaktowe, cenę, warunki i termin wykonania usług naprawy.</w:t>
      </w:r>
    </w:p>
    <w:p w14:paraId="7AE5B93C" w14:textId="77777777" w:rsidR="001A1A77" w:rsidRPr="001A1A77" w:rsidRDefault="001A1A77" w:rsidP="001A1A77">
      <w:pPr>
        <w:spacing w:after="0" w:line="300" w:lineRule="auto"/>
        <w:jc w:val="both"/>
        <w:rPr>
          <w:rFonts w:ascii="Arial" w:hAnsi="Arial" w:cs="Arial"/>
        </w:rPr>
      </w:pPr>
      <w:r w:rsidRPr="001A1A77">
        <w:rPr>
          <w:rFonts w:ascii="Arial" w:hAnsi="Arial" w:cs="Arial"/>
        </w:rPr>
        <w:t>W dyrektywie R2R określono również, że opisana w pkt 3.1 powyżej europejska platforma internetowa napraw będzie zawierała funkcjonalność umożliwiającą przedstawienie konsumentowi europejskiego formularza w formie elektronicznej, na wniosek konsumenta – w przypadku gdy dany podmiot prowadzący działalność w zakresie napraw zdecyduje się korzystać z tego formularza przy oferowaniu napraw ogłoszonych na platformie.</w:t>
      </w:r>
    </w:p>
    <w:p w14:paraId="5A002C08" w14:textId="77777777" w:rsidR="001A1A77" w:rsidRPr="001A1A77" w:rsidRDefault="001A1A77" w:rsidP="001A1A77">
      <w:pPr>
        <w:spacing w:after="0" w:line="300" w:lineRule="auto"/>
        <w:jc w:val="both"/>
        <w:rPr>
          <w:rFonts w:ascii="Arial" w:hAnsi="Arial" w:cs="Arial"/>
        </w:rPr>
      </w:pPr>
      <w:r w:rsidRPr="001A1A77">
        <w:rPr>
          <w:rFonts w:ascii="Arial" w:hAnsi="Arial" w:cs="Arial"/>
        </w:rPr>
        <w:lastRenderedPageBreak/>
        <w:t xml:space="preserve">O ile posługiwanie się formularzem jest dla konsumenta nieodpłatne, dyrektywa R2R określa, że w przypadku gdy do ustalenia charakteru wady, rodzaju naprawy lub oszacowania ceny naprawy potrzebna jest usługa diagnostyczna, podmiot zajmujący się naprawą będzie mógł zażądać od konsumenta pokrycia niezbędnych kosztów tej usługi. </w:t>
      </w:r>
    </w:p>
    <w:p w14:paraId="53A604D9"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Dyrektywa R2R wyjaśnia ponadto, że gdy europejski formularz informacji o naprawie nie jest przekazywany, konsument powinien mieć możliwość zawarcia z podmiotem zajmującym się naprawą umowy o przeprowadzenie naprawy na podstawie informacji przekazanych mu w inny sposób – zgodny z dyrektywą Parlamentu Europejskiego i Rady 2011/83/UE z dnia 25 października 2011 r. w sprawie praw konsumentów, zmieniającą dyrektywę Rady 93/13/EWG i dyrektywę 1999/44/WE Parlamentu Europejskiego i Rady oraz uchylającą dyrektywę Rady 85/577/EWG i dyrektywę 97/7/WE (Dz. Urz. UE L 304 z 22.11.2011, str. 64, z </w:t>
      </w:r>
      <w:proofErr w:type="spellStart"/>
      <w:r w:rsidRPr="001A1A77">
        <w:rPr>
          <w:rFonts w:ascii="Arial" w:hAnsi="Arial" w:cs="Arial"/>
        </w:rPr>
        <w:t>późn</w:t>
      </w:r>
      <w:proofErr w:type="spellEnd"/>
      <w:r w:rsidRPr="001A1A77">
        <w:rPr>
          <w:rFonts w:ascii="Arial" w:hAnsi="Arial" w:cs="Arial"/>
        </w:rPr>
        <w:t>. zm.).</w:t>
      </w:r>
    </w:p>
    <w:p w14:paraId="2314DFC9" w14:textId="77777777" w:rsidR="001A1A77" w:rsidRPr="001A1A77" w:rsidRDefault="001A1A77" w:rsidP="001A1A77">
      <w:pPr>
        <w:spacing w:after="0" w:line="300" w:lineRule="auto"/>
        <w:jc w:val="both"/>
        <w:rPr>
          <w:rFonts w:ascii="Arial" w:hAnsi="Arial" w:cs="Arial"/>
        </w:rPr>
      </w:pPr>
      <w:r w:rsidRPr="001A1A77">
        <w:rPr>
          <w:rFonts w:ascii="Arial" w:hAnsi="Arial" w:cs="Arial"/>
        </w:rPr>
        <w:t>W konsekwencji, w prawie krajowym niezbędne jest dodanie regulacji określającej zasady posługiwania się europejskim formularzem informacji o naprawie oraz wzór tego formularza.</w:t>
      </w:r>
    </w:p>
    <w:p w14:paraId="72D9EB85" w14:textId="77777777" w:rsidR="001A1A77" w:rsidRPr="001A1A77" w:rsidRDefault="001A1A77" w:rsidP="001A1A77">
      <w:pPr>
        <w:spacing w:after="0" w:line="300" w:lineRule="auto"/>
        <w:jc w:val="both"/>
        <w:rPr>
          <w:rFonts w:ascii="Arial" w:hAnsi="Arial" w:cs="Arial"/>
        </w:rPr>
      </w:pPr>
      <w:r w:rsidRPr="001A1A77">
        <w:rPr>
          <w:rFonts w:ascii="Arial" w:hAnsi="Arial" w:cs="Arial"/>
        </w:rPr>
        <w:t>3.3. Promowanie naprawy towarów</w:t>
      </w:r>
    </w:p>
    <w:p w14:paraId="2D2D54CA" w14:textId="77777777" w:rsidR="001A1A77" w:rsidRPr="001A1A77" w:rsidRDefault="001A1A77" w:rsidP="001A1A77">
      <w:pPr>
        <w:spacing w:after="0" w:line="300" w:lineRule="auto"/>
        <w:jc w:val="both"/>
        <w:rPr>
          <w:rFonts w:ascii="Arial" w:hAnsi="Arial" w:cs="Arial"/>
        </w:rPr>
      </w:pPr>
      <w:r w:rsidRPr="001A1A77">
        <w:rPr>
          <w:rFonts w:ascii="Arial" w:hAnsi="Arial" w:cs="Arial"/>
        </w:rPr>
        <w:t>Państwa członkowskie są zobowiązane do podjęcia co najmniej jednego środka w celu promowania naprawy (art. 13 dyrektywy R2R). Takie środki mogą mieć charakter finansowy lub niefinansowy, a ich wybór należy do państwa członkowskiego. Państwa członkowskie mają obowiązek powiadomić Komisję Europejską o podjętym środku do dnia 31 lipca 2029 r.</w:t>
      </w:r>
    </w:p>
    <w:p w14:paraId="3F1A8C72" w14:textId="77777777" w:rsidR="001A1A77" w:rsidRPr="001A1A77" w:rsidRDefault="001A1A77" w:rsidP="001A1A77">
      <w:pPr>
        <w:spacing w:after="0" w:line="300" w:lineRule="auto"/>
        <w:jc w:val="both"/>
        <w:rPr>
          <w:rFonts w:ascii="Arial" w:hAnsi="Arial" w:cs="Arial"/>
        </w:rPr>
      </w:pPr>
      <w:r w:rsidRPr="001A1A77">
        <w:rPr>
          <w:rFonts w:ascii="Arial" w:hAnsi="Arial" w:cs="Arial"/>
        </w:rPr>
        <w:t>Środki o charakterze niefinansowym przykładowo mogą obejmować kampanie informacyjne, wspieranie kierowanych przez społeczność inicjatyw naprawczych za pomocą bezpośrednich środków, takich jak zapewnienie przestrzeni dla laboratoriów naprawczych lub miejsc spotkań, na przykład w ośrodkach społecznościowych lub kulturalnych.</w:t>
      </w:r>
    </w:p>
    <w:p w14:paraId="788ABAB1"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Środki o charakterze finansowym mogłyby przykładowo przybrać formę bonów na naprawę, funduszy naprawczych, wspierania lub tworzenia lokalnych lub regionalnych internetowych platform naprawczych, organizowania lub finansowania programów szkoleniowych w celu nabywania specjalnych umiejętności w zakresie naprawy, czy też środków podatkowych. </w:t>
      </w:r>
    </w:p>
    <w:p w14:paraId="7D290ADD" w14:textId="77777777" w:rsidR="001A1A77" w:rsidRPr="001A1A77" w:rsidRDefault="001A1A77" w:rsidP="001A1A77">
      <w:pPr>
        <w:spacing w:after="0" w:line="300" w:lineRule="auto"/>
        <w:jc w:val="both"/>
        <w:rPr>
          <w:rFonts w:ascii="Arial" w:hAnsi="Arial" w:cs="Arial"/>
        </w:rPr>
      </w:pPr>
      <w:r w:rsidRPr="001A1A77">
        <w:rPr>
          <w:rFonts w:ascii="Arial" w:hAnsi="Arial" w:cs="Arial"/>
        </w:rPr>
        <w:t>W konsekwencji, w prawie krajowym wskazać należy podmiot, który podejmie wymagane dyrektywą R2R działanie promujące naprawę.</w:t>
      </w:r>
    </w:p>
    <w:p w14:paraId="2A92B626"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3.4. Zapewnienie konsumentom dostępu do informacji o prawie do naprawy </w:t>
      </w:r>
    </w:p>
    <w:p w14:paraId="59629F01"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Państwa członkowskie są zobowiązane do zapewnienia konsumentom dostępu do informacji o prawach przysługujących im na podstawie dyrektywy R2R oraz o środkach ich egzekwowania (art. 12 dyrektywy R2R). Takie informacje mogą być przedstawione również za pośrednictwem krajowych stron internetowych połączonych </w:t>
      </w:r>
    </w:p>
    <w:p w14:paraId="377AC2FA" w14:textId="77777777" w:rsidR="001A1A77" w:rsidRPr="001A1A77" w:rsidRDefault="001A1A77" w:rsidP="001A1A77">
      <w:pPr>
        <w:spacing w:after="0" w:line="300" w:lineRule="auto"/>
        <w:jc w:val="both"/>
        <w:rPr>
          <w:rFonts w:ascii="Arial" w:hAnsi="Arial" w:cs="Arial"/>
        </w:rPr>
      </w:pPr>
      <w:r w:rsidRPr="001A1A77">
        <w:rPr>
          <w:rFonts w:ascii="Arial" w:hAnsi="Arial" w:cs="Arial"/>
        </w:rPr>
        <w:t>z portalem „Twoja Europa”.</w:t>
      </w:r>
    </w:p>
    <w:p w14:paraId="7B96D3F2" w14:textId="77777777" w:rsidR="001A1A77" w:rsidRPr="001A1A77" w:rsidRDefault="001A1A77" w:rsidP="001A1A77">
      <w:pPr>
        <w:spacing w:after="0" w:line="300" w:lineRule="auto"/>
        <w:jc w:val="both"/>
        <w:rPr>
          <w:rFonts w:ascii="Arial" w:hAnsi="Arial" w:cs="Arial"/>
        </w:rPr>
      </w:pPr>
      <w:r w:rsidRPr="001A1A77">
        <w:rPr>
          <w:rFonts w:ascii="Arial" w:hAnsi="Arial" w:cs="Arial"/>
        </w:rPr>
        <w:t>W konsekwencji wskazać należy podmiot, który będzie realizował przedmiotowe zadanie.</w:t>
      </w:r>
    </w:p>
    <w:p w14:paraId="644DF707" w14:textId="77777777" w:rsidR="001A1A77" w:rsidRPr="001A1A77" w:rsidRDefault="001A1A77" w:rsidP="001A1A77">
      <w:pPr>
        <w:pStyle w:val="Akapitzlist"/>
        <w:numPr>
          <w:ilvl w:val="0"/>
          <w:numId w:val="6"/>
        </w:numPr>
        <w:spacing w:after="0" w:line="300" w:lineRule="auto"/>
        <w:jc w:val="both"/>
        <w:rPr>
          <w:rFonts w:ascii="Arial" w:hAnsi="Arial" w:cs="Arial"/>
        </w:rPr>
      </w:pPr>
      <w:r w:rsidRPr="001A1A77">
        <w:rPr>
          <w:rFonts w:ascii="Arial" w:hAnsi="Arial" w:cs="Arial"/>
        </w:rPr>
        <w:t>Egzekwowanie przepisów oraz sankcje</w:t>
      </w:r>
    </w:p>
    <w:p w14:paraId="1E0ABB29"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W art. 11 ust. 1 dyrektywy R2R nakłada się na państwa członkowskie obowiązek przyjęcia środków umożliwiających wszczęcie postępowania na mocy prawa krajowego przed sądami lub właściwymi organami administracyjnymi państwa członkowskiego, aby zapewnić stosowanie przepisów krajowych transponujących dyrektywę R2R. </w:t>
      </w:r>
    </w:p>
    <w:p w14:paraId="1CBAD1CA"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Dyrektywa R2R wskazuje szeroki katalog podmiotów, które mogą zostać umocowane przez państwa członkowskie do wszczynania omawianych postępowań – instytucje publiczne lub ich przedstawiciele, organizacje mające uzasadniony interes w ochronie konsumentów lub </w:t>
      </w:r>
      <w:r w:rsidRPr="001A1A77">
        <w:rPr>
          <w:rFonts w:ascii="Arial" w:hAnsi="Arial" w:cs="Arial"/>
        </w:rPr>
        <w:lastRenderedPageBreak/>
        <w:t xml:space="preserve">środowiska, jak również organizacje zawodowe mające uzasadniony interes w podejmowaniu działań. </w:t>
      </w:r>
    </w:p>
    <w:p w14:paraId="460EE735" w14:textId="77777777" w:rsidR="001A1A77" w:rsidRPr="001A1A77" w:rsidRDefault="001A1A77" w:rsidP="001A1A77">
      <w:pPr>
        <w:spacing w:after="0" w:line="300" w:lineRule="auto"/>
        <w:jc w:val="both"/>
        <w:rPr>
          <w:rFonts w:ascii="Arial" w:hAnsi="Arial" w:cs="Arial"/>
        </w:rPr>
      </w:pPr>
      <w:r w:rsidRPr="001A1A77">
        <w:rPr>
          <w:rFonts w:ascii="Arial" w:hAnsi="Arial" w:cs="Arial"/>
        </w:rPr>
        <w:t>Wybór środków prawnych oraz wskazanie co najmniej jednego upoważnionego podmiotu należy do państw członkowskich.</w:t>
      </w:r>
    </w:p>
    <w:p w14:paraId="44C8B844" w14:textId="77777777" w:rsidR="001A1A77" w:rsidRPr="001A1A77" w:rsidRDefault="001A1A77" w:rsidP="001A1A77">
      <w:pPr>
        <w:spacing w:after="0" w:line="300" w:lineRule="auto"/>
        <w:jc w:val="both"/>
        <w:rPr>
          <w:rFonts w:ascii="Arial" w:hAnsi="Arial" w:cs="Arial"/>
        </w:rPr>
      </w:pPr>
      <w:r w:rsidRPr="001A1A77">
        <w:rPr>
          <w:rFonts w:ascii="Arial" w:hAnsi="Arial" w:cs="Arial"/>
        </w:rPr>
        <w:t xml:space="preserve">Ponadto zgodnie z art. 15 dyrektywy R2R państwa członkowskie mają również ustanowić kary na wypadek naruszenia obowiązków wynikających z art. 4, 5 i 6 tej dyrektywy. </w:t>
      </w:r>
    </w:p>
    <w:p w14:paraId="156DC0C1" w14:textId="6351E4A3" w:rsidR="001A1A77" w:rsidRPr="001A1A77" w:rsidRDefault="001A1A77" w:rsidP="001A1A77">
      <w:pPr>
        <w:spacing w:after="0" w:line="300" w:lineRule="auto"/>
        <w:jc w:val="both"/>
        <w:rPr>
          <w:rFonts w:ascii="Arial" w:hAnsi="Arial" w:cs="Arial"/>
        </w:rPr>
      </w:pPr>
      <w:r w:rsidRPr="001A1A77">
        <w:rPr>
          <w:rFonts w:ascii="Arial" w:hAnsi="Arial" w:cs="Arial"/>
        </w:rPr>
        <w:t>W konsekwencji, w prawie krajowym niezbędne jest dodanie przepisów przewidujących kary w przypadku gdy podmiot obowiązany nie wykonuje obowiązków dodawanych przepisami stanowiącymi wdrożenie art. 4-6 dyrektywy R2R, albo wykonuje te obowiązki w sposób niezgodny z tymi przepisami, oraz wskazanie organu bądź organów, kompetentnych do nakładania tych kar.</w:t>
      </w:r>
    </w:p>
    <w:p w14:paraId="4376F69E" w14:textId="77777777" w:rsidR="001A1A77" w:rsidRDefault="001A1A77" w:rsidP="001A1A77">
      <w:pPr>
        <w:spacing w:after="0" w:line="300" w:lineRule="auto"/>
        <w:jc w:val="both"/>
        <w:rPr>
          <w:rFonts w:ascii="Arial" w:hAnsi="Arial" w:cs="Arial"/>
        </w:rPr>
      </w:pPr>
    </w:p>
    <w:p w14:paraId="6AA8EE2A" w14:textId="77777777" w:rsidR="0035048B" w:rsidRPr="0035048B" w:rsidRDefault="0035048B" w:rsidP="0035048B">
      <w:pPr>
        <w:spacing w:after="0" w:line="300" w:lineRule="auto"/>
        <w:jc w:val="both"/>
        <w:rPr>
          <w:rFonts w:ascii="Arial" w:hAnsi="Arial" w:cs="Arial"/>
        </w:rPr>
      </w:pPr>
      <w:r w:rsidRPr="0035048B">
        <w:rPr>
          <w:rFonts w:ascii="Arial" w:hAnsi="Arial" w:cs="Arial"/>
        </w:rPr>
        <w:t>Przedmiotowy projekt aktu prawnego wraz z Uzasadnieniem, Oceną Skutków Regulacji oraz Tabelą zgodności dostępny jest na stronach Rządowego Centrum Legislacji pod adresem:</w:t>
      </w:r>
    </w:p>
    <w:p w14:paraId="16461C6F" w14:textId="408DC81E" w:rsidR="001A1A77" w:rsidRDefault="0035048B" w:rsidP="0035048B">
      <w:pPr>
        <w:spacing w:after="0" w:line="300" w:lineRule="auto"/>
        <w:jc w:val="both"/>
        <w:rPr>
          <w:rFonts w:ascii="Arial" w:hAnsi="Arial" w:cs="Arial"/>
        </w:rPr>
      </w:pPr>
      <w:hyperlink r:id="rId6" w:history="1">
        <w:r w:rsidRPr="000A587C">
          <w:rPr>
            <w:rStyle w:val="Hipercze"/>
            <w:rFonts w:ascii="Arial" w:hAnsi="Arial" w:cs="Arial"/>
          </w:rPr>
          <w:t>https://legislacja.rcl.gov.pl/projekt/12411303/katalo</w:t>
        </w:r>
        <w:r w:rsidRPr="000A587C">
          <w:rPr>
            <w:rStyle w:val="Hipercze"/>
            <w:rFonts w:ascii="Arial" w:hAnsi="Arial" w:cs="Arial"/>
          </w:rPr>
          <w:t>g</w:t>
        </w:r>
        <w:r w:rsidRPr="000A587C">
          <w:rPr>
            <w:rStyle w:val="Hipercze"/>
            <w:rFonts w:ascii="Arial" w:hAnsi="Arial" w:cs="Arial"/>
          </w:rPr>
          <w:t>/13209287#13209287</w:t>
        </w:r>
      </w:hyperlink>
      <w:r>
        <w:rPr>
          <w:rFonts w:ascii="Arial" w:hAnsi="Arial" w:cs="Arial"/>
        </w:rPr>
        <w:t xml:space="preserve"> </w:t>
      </w:r>
    </w:p>
    <w:p w14:paraId="755CCDCB" w14:textId="77777777" w:rsidR="001A1A77" w:rsidRDefault="001A1A77" w:rsidP="001A1A77">
      <w:pPr>
        <w:spacing w:after="0" w:line="300" w:lineRule="auto"/>
        <w:jc w:val="both"/>
        <w:rPr>
          <w:rFonts w:ascii="Arial" w:hAnsi="Arial" w:cs="Arial"/>
        </w:rPr>
      </w:pPr>
    </w:p>
    <w:p w14:paraId="2628D68A" w14:textId="27EE84F9" w:rsidR="0035048B" w:rsidRDefault="0035048B" w:rsidP="001A1A77">
      <w:pPr>
        <w:spacing w:after="0" w:line="300" w:lineRule="auto"/>
        <w:jc w:val="both"/>
        <w:rPr>
          <w:rFonts w:ascii="Arial" w:hAnsi="Arial" w:cs="Arial"/>
        </w:rPr>
      </w:pPr>
      <w:r w:rsidRPr="0035048B">
        <w:rPr>
          <w:rFonts w:ascii="Arial" w:hAnsi="Arial" w:cs="Arial"/>
        </w:rPr>
        <w:t>Projekt jest obecnie jednocześnie na etapie uzgodnień, konsultacji publicznych i opiniowania.</w:t>
      </w:r>
    </w:p>
    <w:p w14:paraId="32FD1B39" w14:textId="77777777" w:rsidR="0035048B" w:rsidRPr="001A1A77" w:rsidRDefault="0035048B" w:rsidP="001A1A77">
      <w:pPr>
        <w:spacing w:after="0" w:line="300" w:lineRule="auto"/>
        <w:jc w:val="both"/>
        <w:rPr>
          <w:rFonts w:ascii="Arial" w:hAnsi="Arial" w:cs="Arial"/>
        </w:rPr>
      </w:pPr>
    </w:p>
    <w:p w14:paraId="0679538E" w14:textId="7A1F24A5" w:rsidR="00BD54B9" w:rsidRPr="0035048B" w:rsidRDefault="0035048B" w:rsidP="00BD54B9">
      <w:pPr>
        <w:pStyle w:val="Akapitzlist"/>
        <w:numPr>
          <w:ilvl w:val="0"/>
          <w:numId w:val="3"/>
        </w:numPr>
        <w:spacing w:after="0" w:line="300" w:lineRule="auto"/>
        <w:jc w:val="both"/>
        <w:rPr>
          <w:rFonts w:ascii="Arial" w:hAnsi="Arial" w:cs="Arial"/>
          <w:b/>
          <w:bCs/>
          <w:u w:val="single"/>
        </w:rPr>
      </w:pPr>
      <w:r w:rsidRPr="0035048B">
        <w:rPr>
          <w:rFonts w:ascii="Arial" w:hAnsi="Arial" w:cs="Arial"/>
          <w:b/>
          <w:bCs/>
          <w:u w:val="single"/>
        </w:rPr>
        <w:t>P</w:t>
      </w:r>
      <w:r w:rsidRPr="0035048B">
        <w:rPr>
          <w:rFonts w:ascii="Arial" w:hAnsi="Arial" w:cs="Arial"/>
          <w:b/>
          <w:bCs/>
          <w:u w:val="single"/>
        </w:rPr>
        <w:t>rojekt ustawy o zmianie ustawy o Krajowym Rejestrze Karnym, ustawy o odpowiedzialności podmiotów zbiorowych za czyny zabronione pod groźbą kary oraz ustawy o zmianie ustawy o Krajowym Rejestrze Karnym oraz niektórych innych ustaw (UDER113).</w:t>
      </w:r>
    </w:p>
    <w:p w14:paraId="778728CD" w14:textId="77777777" w:rsidR="00BD54B9" w:rsidRDefault="00BD54B9" w:rsidP="00BD54B9">
      <w:pPr>
        <w:spacing w:after="0" w:line="300" w:lineRule="auto"/>
        <w:jc w:val="both"/>
        <w:rPr>
          <w:rFonts w:ascii="Arial" w:hAnsi="Arial" w:cs="Arial"/>
        </w:rPr>
      </w:pPr>
    </w:p>
    <w:p w14:paraId="71D19EDD"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Projekt ma na celu wprowadzenie zmian o charakterze </w:t>
      </w:r>
      <w:proofErr w:type="spellStart"/>
      <w:r w:rsidRPr="0035048B">
        <w:rPr>
          <w:rFonts w:ascii="Arial" w:hAnsi="Arial" w:cs="Arial"/>
        </w:rPr>
        <w:t>deregulacyjnym</w:t>
      </w:r>
      <w:proofErr w:type="spellEnd"/>
      <w:r w:rsidRPr="0035048B">
        <w:rPr>
          <w:rFonts w:ascii="Arial" w:hAnsi="Arial" w:cs="Arial"/>
        </w:rPr>
        <w:t xml:space="preserve"> w dwóch obszarach prawa: w ustawie z dnia 24 maja 2000 r. o Krajowym Rejestrze Karnym (Dz. U. </w:t>
      </w:r>
    </w:p>
    <w:p w14:paraId="11C86C5D"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z 2024 r. poz. 276, z </w:t>
      </w:r>
      <w:proofErr w:type="spellStart"/>
      <w:r w:rsidRPr="0035048B">
        <w:rPr>
          <w:rFonts w:ascii="Arial" w:hAnsi="Arial" w:cs="Arial"/>
        </w:rPr>
        <w:t>późn</w:t>
      </w:r>
      <w:proofErr w:type="spellEnd"/>
      <w:r w:rsidRPr="0035048B">
        <w:rPr>
          <w:rFonts w:ascii="Arial" w:hAnsi="Arial" w:cs="Arial"/>
        </w:rPr>
        <w:t>. zm.), dalej „</w:t>
      </w:r>
      <w:proofErr w:type="spellStart"/>
      <w:r w:rsidRPr="0035048B">
        <w:rPr>
          <w:rFonts w:ascii="Arial" w:hAnsi="Arial" w:cs="Arial"/>
        </w:rPr>
        <w:t>u.k.r.k</w:t>
      </w:r>
      <w:proofErr w:type="spellEnd"/>
      <w:r w:rsidRPr="0035048B">
        <w:rPr>
          <w:rFonts w:ascii="Arial" w:hAnsi="Arial" w:cs="Arial"/>
        </w:rPr>
        <w:t xml:space="preserve">.”, i w ustawie z dnia 28 października 2002 r. o odpowiedzialności podmiotów zbiorowych za czyny zabronione pod groźbą kary (Dz. U. z 2024 r. poz. 1822, z </w:t>
      </w:r>
      <w:proofErr w:type="spellStart"/>
      <w:r w:rsidRPr="0035048B">
        <w:rPr>
          <w:rFonts w:ascii="Arial" w:hAnsi="Arial" w:cs="Arial"/>
        </w:rPr>
        <w:t>późn</w:t>
      </w:r>
      <w:proofErr w:type="spellEnd"/>
      <w:r w:rsidRPr="0035048B">
        <w:rPr>
          <w:rFonts w:ascii="Arial" w:hAnsi="Arial" w:cs="Arial"/>
        </w:rPr>
        <w:t>. zm.), dalej „</w:t>
      </w:r>
      <w:proofErr w:type="spellStart"/>
      <w:r w:rsidRPr="0035048B">
        <w:rPr>
          <w:rFonts w:ascii="Arial" w:hAnsi="Arial" w:cs="Arial"/>
        </w:rPr>
        <w:t>u.o.p.z</w:t>
      </w:r>
      <w:proofErr w:type="spellEnd"/>
      <w:r w:rsidRPr="0035048B">
        <w:rPr>
          <w:rFonts w:ascii="Arial" w:hAnsi="Arial" w:cs="Arial"/>
        </w:rPr>
        <w:t>.”, oraz zmian wynikowych w ustawie z dnia 13 lutego 2026 r. o zmianie ustawy o Krajowym Rejestrze Karnym oraz niektórych innych ustaw (Dz. U. poz. 421).</w:t>
      </w:r>
    </w:p>
    <w:p w14:paraId="50F1EACD" w14:textId="77777777" w:rsidR="0035048B" w:rsidRPr="0035048B" w:rsidRDefault="0035048B" w:rsidP="0035048B">
      <w:pPr>
        <w:spacing w:after="0" w:line="300" w:lineRule="auto"/>
        <w:jc w:val="both"/>
        <w:rPr>
          <w:rFonts w:ascii="Arial" w:hAnsi="Arial" w:cs="Arial"/>
        </w:rPr>
      </w:pPr>
      <w:r w:rsidRPr="0035048B">
        <w:rPr>
          <w:rFonts w:ascii="Arial" w:hAnsi="Arial" w:cs="Arial"/>
        </w:rPr>
        <w:t>Zmiany w ustawie o Krajowym Rejestrze Karnym</w:t>
      </w:r>
    </w:p>
    <w:p w14:paraId="6BC98B18"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Zmiany wprowadzane w </w:t>
      </w:r>
      <w:proofErr w:type="spellStart"/>
      <w:r w:rsidRPr="0035048B">
        <w:rPr>
          <w:rFonts w:ascii="Arial" w:hAnsi="Arial" w:cs="Arial"/>
        </w:rPr>
        <w:t>u.k.r.k</w:t>
      </w:r>
      <w:proofErr w:type="spellEnd"/>
      <w:r w:rsidRPr="0035048B">
        <w:rPr>
          <w:rFonts w:ascii="Arial" w:hAnsi="Arial" w:cs="Arial"/>
        </w:rPr>
        <w:t xml:space="preserve">. stanowią wyraz decyzji o rozszerzeniu listy środków kompensacyjnych, które będzie można orzec wobec podmiotu zbiorowego. W wyniku zmian wprowadzanych w </w:t>
      </w:r>
      <w:proofErr w:type="spellStart"/>
      <w:r w:rsidRPr="0035048B">
        <w:rPr>
          <w:rFonts w:ascii="Arial" w:hAnsi="Arial" w:cs="Arial"/>
        </w:rPr>
        <w:t>u.o.p.z</w:t>
      </w:r>
      <w:proofErr w:type="spellEnd"/>
      <w:r w:rsidRPr="0035048B">
        <w:rPr>
          <w:rFonts w:ascii="Arial" w:hAnsi="Arial" w:cs="Arial"/>
        </w:rPr>
        <w:t xml:space="preserve">. koniecznym jest uzupełnienie katalogu wskazanego w art. 1 ust. 3 </w:t>
      </w:r>
      <w:proofErr w:type="spellStart"/>
      <w:r w:rsidRPr="0035048B">
        <w:rPr>
          <w:rFonts w:ascii="Arial" w:hAnsi="Arial" w:cs="Arial"/>
        </w:rPr>
        <w:t>u.k.r.k</w:t>
      </w:r>
      <w:proofErr w:type="spellEnd"/>
      <w:r w:rsidRPr="0035048B">
        <w:rPr>
          <w:rFonts w:ascii="Arial" w:hAnsi="Arial" w:cs="Arial"/>
        </w:rPr>
        <w:t>. o obowiązek naprawienia szkody, obowiązek zadośćuczynienia za doznaną krzywdę oraz nawiązkę. Zmianą wynikową jest także wprowadzenie analogicznych zmian w art. 12 w ust. 1a pkt 4 oraz ust. 2b pkt 1.</w:t>
      </w:r>
    </w:p>
    <w:p w14:paraId="2DEA02A5" w14:textId="77777777" w:rsidR="0035048B" w:rsidRPr="0035048B" w:rsidRDefault="0035048B" w:rsidP="0035048B">
      <w:pPr>
        <w:spacing w:after="0" w:line="300" w:lineRule="auto"/>
        <w:jc w:val="both"/>
        <w:rPr>
          <w:rFonts w:ascii="Arial" w:hAnsi="Arial" w:cs="Arial"/>
        </w:rPr>
      </w:pPr>
      <w:r w:rsidRPr="0035048B">
        <w:rPr>
          <w:rFonts w:ascii="Arial" w:hAnsi="Arial" w:cs="Arial"/>
        </w:rPr>
        <w:t>Zmiany w ustawie o odpowiedzialności podmiotów zbiorowych za czyny zabronione pod groźbą kary</w:t>
      </w:r>
    </w:p>
    <w:p w14:paraId="05742F37"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W aktualnym stanie prawnym, aby wykazać odpowiedzialność podmiotu zbiorowego na gruncie </w:t>
      </w:r>
      <w:proofErr w:type="spellStart"/>
      <w:r w:rsidRPr="0035048B">
        <w:rPr>
          <w:rFonts w:ascii="Arial" w:hAnsi="Arial" w:cs="Arial"/>
        </w:rPr>
        <w:t>u.o.p.z</w:t>
      </w:r>
      <w:proofErr w:type="spellEnd"/>
      <w:r w:rsidRPr="0035048B">
        <w:rPr>
          <w:rFonts w:ascii="Arial" w:hAnsi="Arial" w:cs="Arial"/>
        </w:rPr>
        <w:t xml:space="preserve">., konieczne jest uprzednie uzyskanie prawomocnego orzeczenia sądu karnego (z wyjątkiem przestępstw przeciwko środowisku), jak i ustalenie, że przestępstwa lub przestępstwa skarbowego dopuściła się jedna z osób wskazanych w art. 3 </w:t>
      </w:r>
      <w:proofErr w:type="spellStart"/>
      <w:r w:rsidRPr="0035048B">
        <w:rPr>
          <w:rFonts w:ascii="Arial" w:hAnsi="Arial" w:cs="Arial"/>
        </w:rPr>
        <w:t>u.o.p.z</w:t>
      </w:r>
      <w:proofErr w:type="spellEnd"/>
      <w:r w:rsidRPr="0035048B">
        <w:rPr>
          <w:rFonts w:ascii="Arial" w:hAnsi="Arial" w:cs="Arial"/>
        </w:rPr>
        <w:t xml:space="preserve">., przy jednoczesnym udowodnieniu winy w wyborze lub nadzorze w stosunku do osób, określonych </w:t>
      </w:r>
      <w:r w:rsidRPr="0035048B">
        <w:rPr>
          <w:rFonts w:ascii="Arial" w:hAnsi="Arial" w:cs="Arial"/>
        </w:rPr>
        <w:lastRenderedPageBreak/>
        <w:t xml:space="preserve">w art. 3 pkt 2 lub 3 </w:t>
      </w:r>
      <w:proofErr w:type="spellStart"/>
      <w:r w:rsidRPr="0035048B">
        <w:rPr>
          <w:rFonts w:ascii="Arial" w:hAnsi="Arial" w:cs="Arial"/>
        </w:rPr>
        <w:t>u.o.p.z</w:t>
      </w:r>
      <w:proofErr w:type="spellEnd"/>
      <w:r w:rsidRPr="0035048B">
        <w:rPr>
          <w:rFonts w:ascii="Arial" w:hAnsi="Arial" w:cs="Arial"/>
        </w:rPr>
        <w:t xml:space="preserve">. ze strony organu lub przedstawiciela podmiotu zbiorowego lub też winy w organizacji podmiotu zbiorowego (art. 5 pkt 1 i 2 </w:t>
      </w:r>
      <w:proofErr w:type="spellStart"/>
      <w:r w:rsidRPr="0035048B">
        <w:rPr>
          <w:rFonts w:ascii="Arial" w:hAnsi="Arial" w:cs="Arial"/>
        </w:rPr>
        <w:t>u.o.p.z</w:t>
      </w:r>
      <w:proofErr w:type="spellEnd"/>
      <w:r w:rsidRPr="0035048B">
        <w:rPr>
          <w:rFonts w:ascii="Arial" w:hAnsi="Arial" w:cs="Arial"/>
        </w:rPr>
        <w:t>.). Suma tych okoliczności powoduje, że udowodnienie odpowiedzialności podmiotu zbiorowego jest w praktyce bardzo utrudnione, a niewykazanie chociażby jednej z przesłanek określonych powyżej czyni niemożliwym przypisanie takiej odpowiedzialności.</w:t>
      </w:r>
    </w:p>
    <w:p w14:paraId="5543F818" w14:textId="77777777" w:rsidR="0035048B" w:rsidRPr="0035048B" w:rsidRDefault="0035048B" w:rsidP="0035048B">
      <w:pPr>
        <w:spacing w:after="0" w:line="300" w:lineRule="auto"/>
        <w:jc w:val="both"/>
        <w:rPr>
          <w:rFonts w:ascii="Arial" w:hAnsi="Arial" w:cs="Arial"/>
        </w:rPr>
      </w:pPr>
      <w:r w:rsidRPr="0035048B">
        <w:rPr>
          <w:rFonts w:ascii="Arial" w:hAnsi="Arial" w:cs="Arial"/>
        </w:rPr>
        <w:t>Średniorocznie do odpowiedzialności jest pociąganych tylko kilka podmiotów zbiorowych. Oznacza to, że przedmiotowa ustawa w praktyce nie funkcjonuje. Wymaga to pilnej interwencji sanacyjnej.</w:t>
      </w:r>
    </w:p>
    <w:p w14:paraId="2B918384" w14:textId="77777777" w:rsidR="0035048B" w:rsidRPr="0035048B" w:rsidRDefault="0035048B" w:rsidP="0035048B">
      <w:pPr>
        <w:spacing w:after="0" w:line="300" w:lineRule="auto"/>
        <w:jc w:val="both"/>
        <w:rPr>
          <w:rFonts w:ascii="Arial" w:hAnsi="Arial" w:cs="Arial"/>
        </w:rPr>
      </w:pPr>
      <w:r w:rsidRPr="0035048B">
        <w:rPr>
          <w:rFonts w:ascii="Arial" w:hAnsi="Arial" w:cs="Arial"/>
        </w:rPr>
        <w:t>Praktyczna trwała wieloletnia nieefektywność obowiązującej ustawy przejawia się nie tylko w braku ponoszenia uzasadnionej odpowiedzialności penalnej przez takie podmioty, lecz również w pociąganiu do odpowiedzialności karnej reprezentanta podmiotu zbiorowego (np. prezesa zarządu spółki handlowej), niejako w zastępstwie tego podmiotu (lub innych jego reprezentantów). Prowadzi to w praktyce niekiedy do pociągania do odpowiedzialności karnej reprezentanta podmiotu zbiorowego nie tylko z tytułu jego czynu, lecz czasem wyłącznie z tytułu pełnionej przez niego funkcji. W rezultacie prowadzenie działalności gospodarczej w Polsce obarczone jest dodatkowym ryzykiem ponoszenia przez przedsiębiorców (zarządców) nieuzasadnionych negatywnych konsekwencji swojej aktywności ekonomicznej.</w:t>
      </w:r>
    </w:p>
    <w:p w14:paraId="086F2DC8"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W związku z powyższym konieczne jest rozwiązanie z jednej strony doraźne, a z drugiej – funkcjonalne, to jest maksymalnie niwelujące przywołane powyżej zastrzeżenia. Jego celem jest jednoczesne przywrócenie funkcjonalności omawianej ustawy oraz zracjonalizowanie odpowiedzialności menedżerów. </w:t>
      </w:r>
    </w:p>
    <w:p w14:paraId="2C3C086E"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Przywołany nieprawidłowy stan prawny oraz praktykę karania można łącznie konwalidować przez wprowadzenie do obecnej </w:t>
      </w:r>
      <w:proofErr w:type="spellStart"/>
      <w:r w:rsidRPr="0035048B">
        <w:rPr>
          <w:rFonts w:ascii="Arial" w:hAnsi="Arial" w:cs="Arial"/>
        </w:rPr>
        <w:t>u.o.p.z</w:t>
      </w:r>
      <w:proofErr w:type="spellEnd"/>
      <w:r w:rsidRPr="0035048B">
        <w:rPr>
          <w:rFonts w:ascii="Arial" w:hAnsi="Arial" w:cs="Arial"/>
        </w:rPr>
        <w:t xml:space="preserve">. całkowicie nowej instytucji poddania się podmiotu zbiorowego karze. Sprowadzałaby się ona do ukształtowania w ustawie dodatkowego (odrębnego i alternatywnego) trybu postępowania, opartego na oportunizmie, </w:t>
      </w:r>
      <w:proofErr w:type="spellStart"/>
      <w:r w:rsidRPr="0035048B">
        <w:rPr>
          <w:rFonts w:ascii="Arial" w:hAnsi="Arial" w:cs="Arial"/>
        </w:rPr>
        <w:t>konsensualiźmie</w:t>
      </w:r>
      <w:proofErr w:type="spellEnd"/>
      <w:r w:rsidRPr="0035048B">
        <w:rPr>
          <w:rFonts w:ascii="Arial" w:hAnsi="Arial" w:cs="Arial"/>
        </w:rPr>
        <w:t xml:space="preserve"> i kompensacji. Istotą tego rozwiązania byłaby możliwość procedowania odpowiedzialności podmiotu zbiorowego bez warunku (prejudykatu) w postaci prawomocnego skazania jego reprezentanta, przy czym takie prawomocne poddanie się karze przez podmiot zbiorowy odpowiednio łagodziłoby odpowiedzialność karną jego reprezentanta za czyn popełniony w warunkach określonych w omawianej ustawie (w imieniu lub na rzecz tego podmiotu). Jednocześnie byłaby zagwarantowana pełna kontrola sądowa nad takimi rozstrzygnięciami. </w:t>
      </w:r>
    </w:p>
    <w:p w14:paraId="161C3556"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Wobec powyższego proponuje się wprowadzić nowe przepisy art. 9a </w:t>
      </w:r>
      <w:proofErr w:type="spellStart"/>
      <w:r w:rsidRPr="0035048B">
        <w:rPr>
          <w:rFonts w:ascii="Arial" w:hAnsi="Arial" w:cs="Arial"/>
        </w:rPr>
        <w:t>u.o.p.z</w:t>
      </w:r>
      <w:proofErr w:type="spellEnd"/>
      <w:r w:rsidRPr="0035048B">
        <w:rPr>
          <w:rFonts w:ascii="Arial" w:hAnsi="Arial" w:cs="Arial"/>
        </w:rPr>
        <w:t xml:space="preserve">. i art. 43a </w:t>
      </w:r>
      <w:proofErr w:type="spellStart"/>
      <w:r w:rsidRPr="0035048B">
        <w:rPr>
          <w:rFonts w:ascii="Arial" w:hAnsi="Arial" w:cs="Arial"/>
        </w:rPr>
        <w:t>u.o.p.z</w:t>
      </w:r>
      <w:proofErr w:type="spellEnd"/>
      <w:r w:rsidRPr="0035048B">
        <w:rPr>
          <w:rFonts w:ascii="Arial" w:hAnsi="Arial" w:cs="Arial"/>
        </w:rPr>
        <w:t>. Pierwszy z nich wprowadza do ustawy możliwość orzekania wobec podmiotu zbiorowego środków kompensacyjnych. Odpowiednie stosowanie art. 46 k.k. pozwoli zobowiązać podmiot zbiorowy do naprawienia szkody na zasadach przepisów prawa cywilnego, a jeżeli będzie to utrudnione bądź niemożliwe, nałożyć nawiązkę do wysokości 200 000 zł. Zmiana ta pozwoli na sprawniejsze kompensowanie szkód poniesionych przez ofiary i w dużym stopniu zracjonalizuje funkcjonowanie nowelizowanej ustawy.</w:t>
      </w:r>
    </w:p>
    <w:p w14:paraId="5336E1C2" w14:textId="77777777" w:rsidR="0035048B" w:rsidRPr="0035048B" w:rsidRDefault="0035048B" w:rsidP="0035048B">
      <w:pPr>
        <w:spacing w:after="0" w:line="300" w:lineRule="auto"/>
        <w:jc w:val="both"/>
        <w:rPr>
          <w:rFonts w:ascii="Arial" w:hAnsi="Arial" w:cs="Arial"/>
        </w:rPr>
      </w:pPr>
      <w:r w:rsidRPr="0035048B">
        <w:rPr>
          <w:rFonts w:ascii="Arial" w:hAnsi="Arial" w:cs="Arial"/>
        </w:rPr>
        <w:t>Drugi przepis wprowadza wskazany powyżej zupełnie nowy, szczególny tryb postępowania, który opiera się na założeniach odmiennych od tych, na których opiera się tryb zwyczajny.</w:t>
      </w:r>
    </w:p>
    <w:p w14:paraId="7B7FAE2F"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Poszukując mechanizmu racjonalnej dystrybucji odpowiedzialności między osobę fizyczną i podmiot zbiorowy, w projekcie zaproponowano rozwiązanie konsensualne, pozwalające uwzględnić w obrazie rozkładu odpowiedzialności penalnej podmioty zbiorowe. Przejęcie </w:t>
      </w:r>
      <w:r w:rsidRPr="0035048B">
        <w:rPr>
          <w:rFonts w:ascii="Arial" w:hAnsi="Arial" w:cs="Arial"/>
        </w:rPr>
        <w:lastRenderedPageBreak/>
        <w:t xml:space="preserve">części konsekwencji doprowadzenia do uszczerbku na dobrach prawnych przez podmiot zbiorowy skutkowałoby możliwością złagodzenia odpowiedzialności karnej menedżera przez nadzwyczajne złagodzenie kary. </w:t>
      </w:r>
    </w:p>
    <w:p w14:paraId="6C4A31B0"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Proponowane rozwiązania są spójne z zasadami odpowiedzialności unormowanej w obowiązującej </w:t>
      </w:r>
      <w:proofErr w:type="spellStart"/>
      <w:r w:rsidRPr="0035048B">
        <w:rPr>
          <w:rFonts w:ascii="Arial" w:hAnsi="Arial" w:cs="Arial"/>
        </w:rPr>
        <w:t>u.o.p.z</w:t>
      </w:r>
      <w:proofErr w:type="spellEnd"/>
      <w:r w:rsidRPr="0035048B">
        <w:rPr>
          <w:rFonts w:ascii="Arial" w:hAnsi="Arial" w:cs="Arial"/>
        </w:rPr>
        <w:t xml:space="preserve">. W obowiązującym stanie prawnym podmiot zbiorowy nie ponosi bowiem odpowiedzialności za „własny” czyn zabroniony. Nie ponosi również odpowiedzialności zastępczej za cudzy czyn. Odpowiada natomiast za określone w art. 5 </w:t>
      </w:r>
      <w:proofErr w:type="spellStart"/>
      <w:r w:rsidRPr="0035048B">
        <w:rPr>
          <w:rFonts w:ascii="Arial" w:hAnsi="Arial" w:cs="Arial"/>
        </w:rPr>
        <w:t>u.o.p.z</w:t>
      </w:r>
      <w:proofErr w:type="spellEnd"/>
      <w:r w:rsidRPr="0035048B">
        <w:rPr>
          <w:rFonts w:ascii="Arial" w:hAnsi="Arial" w:cs="Arial"/>
        </w:rPr>
        <w:t xml:space="preserve">. formy nieprawidłowości działania skutkujące popełnieniem czynu zabronionego przez osobę fizyczną. W strukturze odpowiedzialności podmiotu zbiorowego czyn zabroniony osoby fizycznej posiada status skutku nieprawidłowości określonej w art. 5 </w:t>
      </w:r>
      <w:proofErr w:type="spellStart"/>
      <w:r w:rsidRPr="0035048B">
        <w:rPr>
          <w:rFonts w:ascii="Arial" w:hAnsi="Arial" w:cs="Arial"/>
        </w:rPr>
        <w:t>u.o.p.z</w:t>
      </w:r>
      <w:proofErr w:type="spellEnd"/>
      <w:r w:rsidRPr="0035048B">
        <w:rPr>
          <w:rFonts w:ascii="Arial" w:hAnsi="Arial" w:cs="Arial"/>
        </w:rPr>
        <w:t xml:space="preserve">. Przesłanki odpowiedzialności określone w art. 5 </w:t>
      </w:r>
      <w:proofErr w:type="spellStart"/>
      <w:r w:rsidRPr="0035048B">
        <w:rPr>
          <w:rFonts w:ascii="Arial" w:hAnsi="Arial" w:cs="Arial"/>
        </w:rPr>
        <w:t>u.o.p.z</w:t>
      </w:r>
      <w:proofErr w:type="spellEnd"/>
      <w:r w:rsidRPr="0035048B">
        <w:rPr>
          <w:rFonts w:ascii="Arial" w:hAnsi="Arial" w:cs="Arial"/>
        </w:rPr>
        <w:t xml:space="preserve">. są szczególnymi okolicznościami czynu zabronionego popełnionego przez osobę fizyczną. </w:t>
      </w:r>
    </w:p>
    <w:p w14:paraId="75612D70"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Co oczywiste, przesłanki te nie są spełnione w przypadkach posłużenia się podmiotem zbiorowym dla realizacji przestępnego zamiaru osoby fizycznej. W takim przypadku nie zachodzi wskazana w art. 5 </w:t>
      </w:r>
      <w:proofErr w:type="spellStart"/>
      <w:r w:rsidRPr="0035048B">
        <w:rPr>
          <w:rFonts w:ascii="Arial" w:hAnsi="Arial" w:cs="Arial"/>
        </w:rPr>
        <w:t>u.o.p.z</w:t>
      </w:r>
      <w:proofErr w:type="spellEnd"/>
      <w:r w:rsidRPr="0035048B">
        <w:rPr>
          <w:rFonts w:ascii="Arial" w:hAnsi="Arial" w:cs="Arial"/>
        </w:rPr>
        <w:t xml:space="preserve">. relacja przyczynowa. Jest to szczególnie istotne w kontekście proponowanego konsensualnego trybu poddania się odpowiedzialności przez podmiot zbiorowy oraz związanych z nim konsekwencji w sferze odpowiedzialności osoby fizycznej. Sprawca wykorzystujący podmiot zbiorowy do działalności przestępczej nie będzie mógł liczyć na dobrodziejstwo nadzwyczajnego złagodzenia kary przez tryb unormowany w proponowanym art. 43a </w:t>
      </w:r>
      <w:proofErr w:type="spellStart"/>
      <w:r w:rsidRPr="0035048B">
        <w:rPr>
          <w:rFonts w:ascii="Arial" w:hAnsi="Arial" w:cs="Arial"/>
        </w:rPr>
        <w:t>u.o.p.z</w:t>
      </w:r>
      <w:proofErr w:type="spellEnd"/>
      <w:r w:rsidRPr="0035048B">
        <w:rPr>
          <w:rFonts w:ascii="Arial" w:hAnsi="Arial" w:cs="Arial"/>
        </w:rPr>
        <w:t xml:space="preserve">. W takim przypadku, wobec niespełnienia przesłanek z art. 5 </w:t>
      </w:r>
      <w:proofErr w:type="spellStart"/>
      <w:r w:rsidRPr="0035048B">
        <w:rPr>
          <w:rFonts w:ascii="Arial" w:hAnsi="Arial" w:cs="Arial"/>
        </w:rPr>
        <w:t>u.o.p.z</w:t>
      </w:r>
      <w:proofErr w:type="spellEnd"/>
      <w:r w:rsidRPr="0035048B">
        <w:rPr>
          <w:rFonts w:ascii="Arial" w:hAnsi="Arial" w:cs="Arial"/>
        </w:rPr>
        <w:t xml:space="preserve">., skierowanie wniosku w trybie art. 43a ust. 1 </w:t>
      </w:r>
      <w:proofErr w:type="spellStart"/>
      <w:r w:rsidRPr="0035048B">
        <w:rPr>
          <w:rFonts w:ascii="Arial" w:hAnsi="Arial" w:cs="Arial"/>
        </w:rPr>
        <w:t>u.o.p.z</w:t>
      </w:r>
      <w:proofErr w:type="spellEnd"/>
      <w:r w:rsidRPr="0035048B">
        <w:rPr>
          <w:rFonts w:ascii="Arial" w:hAnsi="Arial" w:cs="Arial"/>
        </w:rPr>
        <w:t xml:space="preserve">. będzie niedopuszczalne. </w:t>
      </w:r>
    </w:p>
    <w:p w14:paraId="2C190F4F"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Elementem definiującym w praktyce </w:t>
      </w:r>
      <w:proofErr w:type="spellStart"/>
      <w:r w:rsidRPr="0035048B">
        <w:rPr>
          <w:rFonts w:ascii="Arial" w:hAnsi="Arial" w:cs="Arial"/>
        </w:rPr>
        <w:t>u.o.p.z</w:t>
      </w:r>
      <w:proofErr w:type="spellEnd"/>
      <w:r w:rsidRPr="0035048B">
        <w:rPr>
          <w:rFonts w:ascii="Arial" w:hAnsi="Arial" w:cs="Arial"/>
        </w:rPr>
        <w:t xml:space="preserve">. i określanym zgodnie jako przyczyna jej dysfunkcjonalności jest określony w jej art. 4 wymóg tzw. prejudykatu. W obecnym stanie prawnym wskazany wymóg formalny jest konstrukcyjną koniecznością, w świetle przyjętego w ustawie modelu odpowiedzialności podmiotu zbiorowego. Jedyny wyłom od tej zasady stanowi art. 4a </w:t>
      </w:r>
      <w:proofErr w:type="spellStart"/>
      <w:r w:rsidRPr="0035048B">
        <w:rPr>
          <w:rFonts w:ascii="Arial" w:hAnsi="Arial" w:cs="Arial"/>
        </w:rPr>
        <w:t>u.o.p.z</w:t>
      </w:r>
      <w:proofErr w:type="spellEnd"/>
      <w:r w:rsidRPr="0035048B">
        <w:rPr>
          <w:rFonts w:ascii="Arial" w:hAnsi="Arial" w:cs="Arial"/>
        </w:rPr>
        <w:t xml:space="preserve">. Zgodnie z tym przepisem w przypadku popełnienia czynu zabronionego, wymienionego w art. 16 ust. 1 pkt 8, przez osobę, o której mowa w art. 3, podmiot zbiorowy podlega odpowiedzialności niezależnie od wydania wyroku albo orzeczenia, o których mowa w art. 4. Innymi słowy art. 4a </w:t>
      </w:r>
      <w:proofErr w:type="spellStart"/>
      <w:r w:rsidRPr="0035048B">
        <w:rPr>
          <w:rFonts w:ascii="Arial" w:hAnsi="Arial" w:cs="Arial"/>
        </w:rPr>
        <w:t>u.o.p.z</w:t>
      </w:r>
      <w:proofErr w:type="spellEnd"/>
      <w:r w:rsidRPr="0035048B">
        <w:rPr>
          <w:rFonts w:ascii="Arial" w:hAnsi="Arial" w:cs="Arial"/>
        </w:rPr>
        <w:t>. eliminuje wymóg prejudykatu w odniesieniu do określonej grupy typów czynów zabronionych. W zakresie określonym</w:t>
      </w:r>
    </w:p>
    <w:p w14:paraId="586D19A6"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 w art. 4a </w:t>
      </w:r>
      <w:proofErr w:type="spellStart"/>
      <w:r w:rsidRPr="0035048B">
        <w:rPr>
          <w:rFonts w:ascii="Arial" w:hAnsi="Arial" w:cs="Arial"/>
        </w:rPr>
        <w:t>u.o.p.z</w:t>
      </w:r>
      <w:proofErr w:type="spellEnd"/>
      <w:r w:rsidRPr="0035048B">
        <w:rPr>
          <w:rFonts w:ascii="Arial" w:hAnsi="Arial" w:cs="Arial"/>
        </w:rPr>
        <w:t xml:space="preserve">. sąd orzekający w przedmiocie odpowiedzialności podmiotu zbiorowego samodzielnie ustala popełnienie czynu zabronionego jako okoliczność faktyczną, będącą jedną z przesłanek wskazanej odpowiedzialności. Przytoczonemu unormowaniu nie towarzyszy inne, odmienne od wynikającego z art. 115 § 1 k.k., definiowanie pojęcia czynu zabronionego. Czyn zabroniony oznacza zatem zachowanie osoby fizycznej, które w strukturze odpowiedzialności podmiotu zbiorowego stanowi skutek jednej z określonych w art. 5 </w:t>
      </w:r>
      <w:proofErr w:type="spellStart"/>
      <w:r w:rsidRPr="0035048B">
        <w:rPr>
          <w:rFonts w:ascii="Arial" w:hAnsi="Arial" w:cs="Arial"/>
        </w:rPr>
        <w:t>u.o.p.z</w:t>
      </w:r>
      <w:proofErr w:type="spellEnd"/>
      <w:r w:rsidRPr="0035048B">
        <w:rPr>
          <w:rFonts w:ascii="Arial" w:hAnsi="Arial" w:cs="Arial"/>
        </w:rPr>
        <w:t xml:space="preserve">. nieprawidłowości w funkcjonowaniu podmiotu zbiorowego. Proponowane rozwiązanie w rozważanym aspekcie nie wprowadzi zatem wyłomu w modelu odpowiedzialności podmiotu zbiorowego. W zakresie rezygnacji z wymogu prejudykatu nie jest też rozwiązaniem obcym w obowiązującej ustawie. </w:t>
      </w:r>
    </w:p>
    <w:p w14:paraId="6C7DC7E0"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Proponowana regulacja stanowi odpowiedź na postulaty doktryny prawa karnego w zakresie wprowadzenia możliwości konsensualnego rozwiązywania sporów, także w kontekście odpowiedzialności podmiotów zbiorowych. Mimo że jest to nowe rozwiązanie, to jednak bazuje na dotychczasowych możliwościach procesowych, przewidzianych w </w:t>
      </w:r>
      <w:proofErr w:type="spellStart"/>
      <w:r w:rsidRPr="0035048B">
        <w:rPr>
          <w:rFonts w:ascii="Arial" w:hAnsi="Arial" w:cs="Arial"/>
        </w:rPr>
        <w:t>u.o.p.z</w:t>
      </w:r>
      <w:proofErr w:type="spellEnd"/>
      <w:r w:rsidRPr="0035048B">
        <w:rPr>
          <w:rFonts w:ascii="Arial" w:hAnsi="Arial" w:cs="Arial"/>
        </w:rPr>
        <w:t xml:space="preserve">. Chodzi tutaj </w:t>
      </w:r>
      <w:r w:rsidRPr="0035048B">
        <w:rPr>
          <w:rFonts w:ascii="Arial" w:hAnsi="Arial" w:cs="Arial"/>
        </w:rPr>
        <w:lastRenderedPageBreak/>
        <w:t xml:space="preserve">generalnie o stosowanie do tej nowej procedury obecnych regulacji. W tym kontekście należy zwrócić szczególną uwagę na art. 21 </w:t>
      </w:r>
      <w:proofErr w:type="spellStart"/>
      <w:r w:rsidRPr="0035048B">
        <w:rPr>
          <w:rFonts w:ascii="Arial" w:hAnsi="Arial" w:cs="Arial"/>
        </w:rPr>
        <w:t>u.o.p.z</w:t>
      </w:r>
      <w:proofErr w:type="spellEnd"/>
      <w:r w:rsidRPr="0035048B">
        <w:rPr>
          <w:rFonts w:ascii="Arial" w:hAnsi="Arial" w:cs="Arial"/>
        </w:rPr>
        <w:t xml:space="preserve">., który w ust. 4 wskazuje, że: „jeżeli w postępowaniu przygotowawczym zostanie ustalony podmiot, który odniósł lub mógł odnieść korzyść, chociażby niemajątkową z czynu osoby, o której mowa w art. 3 (osoba fizyczna), to należy niezwłocznie powiadomić ten podmiot o przysługujących mu uprawnieniach i obowiązkach”. </w:t>
      </w:r>
    </w:p>
    <w:p w14:paraId="3069BCA9"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Istota deliktów popełnionych przez podmiot zbiorowy i jego reprezentanta sprowadza się do ich specyficznego współdziałania, a co za tym idzie – zachowania charakteryzującego się winą rozłożoną po obu stronach. Po każdej z tych stron stopień owej winy jest generalnie obniżony w porównaniu z sytuacją, w której każdy z tych sprawców działałby samodzielnie i przez to – konsekwentnie – odpowiadałby za ten delikt samodzielnie (czyli również za delikt drugiego sprawcy). Na marginesie należy odnotować, że w obecnej praktyce organów ścigania i wymiaru sprawiedliwości, to zasadniczo reprezentant podmiotu zbiorowego w istocie ponosi całą winę za swój czyn oraz dodatkowo za delikt podmiotu zbiorowego. Największy ciężar ryzyka ponoszą przy tym prezesi zarządu spółek prawa handlowego. To im przypisuje się pełną odpowiedzialność penalną w omawianym zakresie. Projektodawcy uznali ten stan rzeczy za wysoce niewłaściwy, przyjmując, że rozstrzygnięcie w przedmiocie odpowiedzialności podmiotu zbiorowego powinno skutkować zredukowaniem odpowiedzialności karnej jego reprezentanta. Ten mechanizm redukcyjny postanowiono powiązać z proponowanym szczególnym trybem pociągania do odpowiedzialności podmiotu zbiorowego. Rozwiązanie to opiera się na założeniu, zgodnie z którym przesądzenie odpowiedzialności podmiotu zbiorowego w reżimie ustawy stanowi odpowiednią podstawę do złagodzenia odpowiedzialności karnej jego reprezentanta. Wskazanym racjom o charakterze aksjologicznym towarzyszą również racje prakseologiczne. Funkcjonowanie proponowanego trybu opiera się bowiem na podstawowej wyjściowej przesłance, zgodnie z którą okoliczności z art. 3 i art. 5 </w:t>
      </w:r>
      <w:proofErr w:type="spellStart"/>
      <w:r w:rsidRPr="0035048B">
        <w:rPr>
          <w:rFonts w:ascii="Arial" w:hAnsi="Arial" w:cs="Arial"/>
        </w:rPr>
        <w:t>u.o.p.z</w:t>
      </w:r>
      <w:proofErr w:type="spellEnd"/>
      <w:r w:rsidRPr="0035048B">
        <w:rPr>
          <w:rFonts w:ascii="Arial" w:hAnsi="Arial" w:cs="Arial"/>
        </w:rPr>
        <w:t xml:space="preserve">. nie budzą wątpliwości (projektowany art. 43a ust. 1 </w:t>
      </w:r>
      <w:proofErr w:type="spellStart"/>
      <w:r w:rsidRPr="0035048B">
        <w:rPr>
          <w:rFonts w:ascii="Arial" w:hAnsi="Arial" w:cs="Arial"/>
        </w:rPr>
        <w:t>u.o.p.z</w:t>
      </w:r>
      <w:proofErr w:type="spellEnd"/>
      <w:r w:rsidRPr="0035048B">
        <w:rPr>
          <w:rFonts w:ascii="Arial" w:hAnsi="Arial" w:cs="Arial"/>
        </w:rPr>
        <w:t>.).</w:t>
      </w:r>
    </w:p>
    <w:p w14:paraId="6377629A"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Reasumując, według proponowanej instytucji, prokurator będzie mógł wystąpić do sądu z wnioskiem o wydanie wyroku stwierdzającego odpowiedzialność podmiotu zbiorowego i orzeczenie uzgodnionych z jego przedstawicielem kar i środków wymienionych w art. 7–9a </w:t>
      </w:r>
      <w:proofErr w:type="spellStart"/>
      <w:r w:rsidRPr="0035048B">
        <w:rPr>
          <w:rFonts w:ascii="Arial" w:hAnsi="Arial" w:cs="Arial"/>
        </w:rPr>
        <w:t>u.o.p.z</w:t>
      </w:r>
      <w:proofErr w:type="spellEnd"/>
      <w:r w:rsidRPr="0035048B">
        <w:rPr>
          <w:rFonts w:ascii="Arial" w:hAnsi="Arial" w:cs="Arial"/>
        </w:rPr>
        <w:t xml:space="preserve">. niezależnie od tego, czy postępowanie karne przeciwko osobie fizycznej, o której mowa w art. 3 </w:t>
      </w:r>
      <w:proofErr w:type="spellStart"/>
      <w:r w:rsidRPr="0035048B">
        <w:rPr>
          <w:rFonts w:ascii="Arial" w:hAnsi="Arial" w:cs="Arial"/>
        </w:rPr>
        <w:t>u.o.p.z</w:t>
      </w:r>
      <w:proofErr w:type="spellEnd"/>
      <w:r w:rsidRPr="0035048B">
        <w:rPr>
          <w:rFonts w:ascii="Arial" w:hAnsi="Arial" w:cs="Arial"/>
        </w:rPr>
        <w:t xml:space="preserve">., zostało wszczęte, toczy się (zostało zawieszone) i w jakiej jest fazie (postępowanie przygotowawcze albo sądowe). Wystąpienie z rzeczonym wnioskiem przez prokuratora będzie możliwe wyłącznie w razie ustalenia, że okoliczności, o których mowa w art. 3 i art. 5 </w:t>
      </w:r>
      <w:proofErr w:type="spellStart"/>
      <w:r w:rsidRPr="0035048B">
        <w:rPr>
          <w:rFonts w:ascii="Arial" w:hAnsi="Arial" w:cs="Arial"/>
        </w:rPr>
        <w:t>u.o.p.z</w:t>
      </w:r>
      <w:proofErr w:type="spellEnd"/>
      <w:r w:rsidRPr="0035048B">
        <w:rPr>
          <w:rFonts w:ascii="Arial" w:hAnsi="Arial" w:cs="Arial"/>
        </w:rPr>
        <w:t xml:space="preserve">., nie budzą wątpliwości. Chodzi więc o ustalenie, że czyn zabroniony został popełniony przez reprezentanta podmiotu zbiorowego w warunkach jego zawinienia, to jest winy w nadzorze lub wyborze oraz winy organizacyjnej. Są to kluczowe warunki odpowiedzialności podmiotu zbiorowego. </w:t>
      </w:r>
    </w:p>
    <w:p w14:paraId="760EAB86"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Co jest przy tym oczywiste, proponowane kary i środki muszą uwzględniać prawnie chronione interesy pokrzywdzonego. Z tego względu projektowane rozwiązanie poszerza katalog możliwych do orzeczenia na podstawie </w:t>
      </w:r>
      <w:proofErr w:type="spellStart"/>
      <w:r w:rsidRPr="0035048B">
        <w:rPr>
          <w:rFonts w:ascii="Arial" w:hAnsi="Arial" w:cs="Arial"/>
        </w:rPr>
        <w:t>u.o.p.z</w:t>
      </w:r>
      <w:proofErr w:type="spellEnd"/>
      <w:r w:rsidRPr="0035048B">
        <w:rPr>
          <w:rFonts w:ascii="Arial" w:hAnsi="Arial" w:cs="Arial"/>
        </w:rPr>
        <w:t xml:space="preserve">. środków reakcji prawnej o środki kompensacyjne, to jest naprawienie szkody albo zadośćuczynienie (projektowany art. 9a </w:t>
      </w:r>
      <w:proofErr w:type="spellStart"/>
      <w:r w:rsidRPr="0035048B">
        <w:rPr>
          <w:rFonts w:ascii="Arial" w:hAnsi="Arial" w:cs="Arial"/>
        </w:rPr>
        <w:t>u.o.p.z</w:t>
      </w:r>
      <w:proofErr w:type="spellEnd"/>
      <w:r w:rsidRPr="0035048B">
        <w:rPr>
          <w:rFonts w:ascii="Arial" w:hAnsi="Arial" w:cs="Arial"/>
        </w:rPr>
        <w:t>.).</w:t>
      </w:r>
    </w:p>
    <w:p w14:paraId="2BD71E01"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Ustalane z prokuratorem warunki będą obejmowały karę pieniężną, przepadek, podanie wyroku do publicznej wiadomości, a także nowe rozwiązanie, to jest środki kompensacyjne. </w:t>
      </w:r>
    </w:p>
    <w:p w14:paraId="76A6DC9C" w14:textId="77777777" w:rsidR="0035048B" w:rsidRPr="0035048B" w:rsidRDefault="0035048B" w:rsidP="0035048B">
      <w:pPr>
        <w:spacing w:after="0" w:line="300" w:lineRule="auto"/>
        <w:jc w:val="both"/>
        <w:rPr>
          <w:rFonts w:ascii="Arial" w:hAnsi="Arial" w:cs="Arial"/>
        </w:rPr>
      </w:pPr>
      <w:r w:rsidRPr="0035048B">
        <w:rPr>
          <w:rFonts w:ascii="Arial" w:hAnsi="Arial" w:cs="Arial"/>
        </w:rPr>
        <w:lastRenderedPageBreak/>
        <w:t xml:space="preserve">Wniosek prokuratora, o którym mowa w projektowanym art. 43a ust. 1 </w:t>
      </w:r>
      <w:proofErr w:type="spellStart"/>
      <w:r w:rsidRPr="0035048B">
        <w:rPr>
          <w:rFonts w:ascii="Arial" w:hAnsi="Arial" w:cs="Arial"/>
        </w:rPr>
        <w:t>u.o.p.z</w:t>
      </w:r>
      <w:proofErr w:type="spellEnd"/>
      <w:r w:rsidRPr="0035048B">
        <w:rPr>
          <w:rFonts w:ascii="Arial" w:hAnsi="Arial" w:cs="Arial"/>
        </w:rPr>
        <w:t xml:space="preserve">., będzie podlegał takiej samej procedurze i reżimowi jak zwykły wniosek o pociągnięcie podmiotu zbiorowego do odpowiedzialności. Oznacza to, że będzie on podlegał rozpoznaniu na podstawie </w:t>
      </w:r>
      <w:proofErr w:type="spellStart"/>
      <w:r w:rsidRPr="0035048B">
        <w:rPr>
          <w:rFonts w:ascii="Arial" w:hAnsi="Arial" w:cs="Arial"/>
        </w:rPr>
        <w:t>u.o.p.z</w:t>
      </w:r>
      <w:proofErr w:type="spellEnd"/>
      <w:r w:rsidRPr="0035048B">
        <w:rPr>
          <w:rFonts w:ascii="Arial" w:hAnsi="Arial" w:cs="Arial"/>
        </w:rPr>
        <w:t xml:space="preserve">. W konsekwencji właściwym do jego rozpoznania będzie sąd rejonowy, ustalony według zasad wskazanych w art. 24 </w:t>
      </w:r>
      <w:proofErr w:type="spellStart"/>
      <w:r w:rsidRPr="0035048B">
        <w:rPr>
          <w:rFonts w:ascii="Arial" w:hAnsi="Arial" w:cs="Arial"/>
        </w:rPr>
        <w:t>u.o.p.z</w:t>
      </w:r>
      <w:proofErr w:type="spellEnd"/>
      <w:r w:rsidRPr="0035048B">
        <w:rPr>
          <w:rFonts w:ascii="Arial" w:hAnsi="Arial" w:cs="Arial"/>
        </w:rPr>
        <w:t xml:space="preserve">. W rozpoznaniu wniosku na posiedzeniu jawnym będą mogli wziąć udział: przedstawiciel podmiotu zbiorowego wraz ze swoim obrońcą, prokurator, pokrzywdzony wraz z pełnomocnikiem oraz osoba fizyczna, o której mowa w art. 3 </w:t>
      </w:r>
      <w:proofErr w:type="spellStart"/>
      <w:r w:rsidRPr="0035048B">
        <w:rPr>
          <w:rFonts w:ascii="Arial" w:hAnsi="Arial" w:cs="Arial"/>
        </w:rPr>
        <w:t>u.o.p.z</w:t>
      </w:r>
      <w:proofErr w:type="spellEnd"/>
      <w:r w:rsidRPr="0035048B">
        <w:rPr>
          <w:rFonts w:ascii="Arial" w:hAnsi="Arial" w:cs="Arial"/>
        </w:rPr>
        <w:t xml:space="preserve">. wraz ze swoim obrońcą. W ten sposób zostanie zagwarantowane prawo do informacji dla podejrzanego/oskarżonego w postępowaniu karnym co do przebiegu postępowania w zakresie pociągnięcia podmiotu zbiorowego do odpowiedzialności. Rozstrzygnięcie wniosku w tym przedmiocie może mieć bowiem istotne znaczenie dla zakresu jego odpowiedzialności, w tym o charakterze kompensacyjnym. </w:t>
      </w:r>
    </w:p>
    <w:p w14:paraId="7A6A3B1D"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Co oczywiste, poddanie wniosku o wydanie wyroku stwierdzającego odpowiedzialność podmiotu zbiorowego i orzeczenie uzgodnionych z jego przedstawicielem kar i środków wymienionych w art. 7–9a </w:t>
      </w:r>
      <w:proofErr w:type="spellStart"/>
      <w:r w:rsidRPr="0035048B">
        <w:rPr>
          <w:rFonts w:ascii="Arial" w:hAnsi="Arial" w:cs="Arial"/>
        </w:rPr>
        <w:t>u.o.p.z</w:t>
      </w:r>
      <w:proofErr w:type="spellEnd"/>
      <w:r w:rsidRPr="0035048B">
        <w:rPr>
          <w:rFonts w:ascii="Arial" w:hAnsi="Arial" w:cs="Arial"/>
        </w:rPr>
        <w:t xml:space="preserve">. pod kontrolę sądu oznacza między innymi, że sąd rozpoznający taki wniosek nie będzie związany jego treścią. W konsekwencji będzie mógł uzależnić uwzględnienie wniosku od dokonania określonych zmian, które z uwagi na charakter konsensualny będą musiały zostać zaakceptowane zarówno przez prokuratora, jak i przez przedstawiciela podmiotu zbiorowego. Jednocześnie, z uwagi na kompensacyjny charakter proponowanej regulacji, sąd będzie mógł odroczyć posiedzenie w przedmiocie rozpoznania wniosku, wyznaczając podmiotowi zbiorowemu i pokrzywdzonemu termin na porozumienie się co do naprawienia szkody lub zadośćuczynienia. W tym zakresie będzie możliwe także skierowanie sprawy do postępowania mediacyjnego na wniosek lub za zgodą stron. </w:t>
      </w:r>
    </w:p>
    <w:p w14:paraId="586ABDD9"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W razie uwzględnienia wniosku sąd wyda wyrok stwierdzający odpowiedzialność podmiotu zbiorowego i wymierzy temu podmiotowi uzgodnioną karę i środki. Kara, o której mowa w art. 7 </w:t>
      </w:r>
      <w:proofErr w:type="spellStart"/>
      <w:r w:rsidRPr="0035048B">
        <w:rPr>
          <w:rFonts w:ascii="Arial" w:hAnsi="Arial" w:cs="Arial"/>
        </w:rPr>
        <w:t>u.o.p.z</w:t>
      </w:r>
      <w:proofErr w:type="spellEnd"/>
      <w:r w:rsidRPr="0035048B">
        <w:rPr>
          <w:rFonts w:ascii="Arial" w:hAnsi="Arial" w:cs="Arial"/>
        </w:rPr>
        <w:t xml:space="preserve">., będzie mogła być orzeczona w wysokości do 1,5% przychodu osiągniętego w roku obrotowym, w którym popełniono czyn zabroniony będący podstawą odpowiedzialności podmiotu zbiorowego. Ten </w:t>
      </w:r>
      <w:proofErr w:type="spellStart"/>
      <w:r w:rsidRPr="0035048B">
        <w:rPr>
          <w:rFonts w:ascii="Arial" w:hAnsi="Arial" w:cs="Arial"/>
        </w:rPr>
        <w:t>limitacyjny</w:t>
      </w:r>
      <w:proofErr w:type="spellEnd"/>
      <w:r w:rsidRPr="0035048B">
        <w:rPr>
          <w:rFonts w:ascii="Arial" w:hAnsi="Arial" w:cs="Arial"/>
        </w:rPr>
        <w:t>, górny wyznacznik wysokości kary, obniżony w stosunku do górnej granicy kary zasadniczej, ma stanowić zachętę dla podmiotów zbiorowych do korzystania z tego rozwiązania i pozwolić im na szybsze i efektywniejsze procedowanie w zakresie ich odpowiedzialności.</w:t>
      </w:r>
    </w:p>
    <w:p w14:paraId="1202007B" w14:textId="77777777" w:rsidR="0035048B" w:rsidRPr="0035048B" w:rsidRDefault="0035048B" w:rsidP="0035048B">
      <w:pPr>
        <w:spacing w:after="0" w:line="300" w:lineRule="auto"/>
        <w:jc w:val="both"/>
        <w:rPr>
          <w:rFonts w:ascii="Arial" w:hAnsi="Arial" w:cs="Arial"/>
        </w:rPr>
      </w:pPr>
      <w:r w:rsidRPr="0035048B">
        <w:rPr>
          <w:rFonts w:ascii="Arial" w:hAnsi="Arial" w:cs="Arial"/>
        </w:rPr>
        <w:t>Z uwagi na już obowiązującą w prawie karnym procesowym zasadę lojalności procesowej projekt, podobnie jak w innych przypadkach postępowań konsensualnych, ogranicza możliwość zaskarżenia wyroku uzyskanego w projektowanym trybie. W takim przypadku będzie więc wykluczone podnoszenie przez strony zarzutu błędu w ustaleniach faktycznych oraz niewspółmierności kary.</w:t>
      </w:r>
    </w:p>
    <w:p w14:paraId="71D92F92"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W przypadku nieuwzględnienia wniosku sąd postanowieniem umorzy postępowanie w przedmiocie wydania wyroku stwierdzającego odpowiedzialność podmiotu zbiorowego. Takie orzeczenie nie będzie jednak, co oczywiste, kreować stanu powagi rzeczy osądzonej, a w konsekwencji nie będzie przeszkód natury procesowej do złożenia wniosku w przedmiocie odpowiedzialności podmiotu zbiorowego na zasadach ogólnych, a więc po uzyskaniu prejudykatu. Na postanowienie w przedmiocie umorzenia postępowania zażalenie nie będzie przysługiwać. </w:t>
      </w:r>
    </w:p>
    <w:p w14:paraId="3402D96B" w14:textId="77777777" w:rsidR="0035048B" w:rsidRPr="0035048B" w:rsidRDefault="0035048B" w:rsidP="0035048B">
      <w:pPr>
        <w:spacing w:after="0" w:line="300" w:lineRule="auto"/>
        <w:jc w:val="both"/>
        <w:rPr>
          <w:rFonts w:ascii="Arial" w:hAnsi="Arial" w:cs="Arial"/>
        </w:rPr>
      </w:pPr>
      <w:r w:rsidRPr="0035048B">
        <w:rPr>
          <w:rFonts w:ascii="Arial" w:hAnsi="Arial" w:cs="Arial"/>
        </w:rPr>
        <w:lastRenderedPageBreak/>
        <w:t xml:space="preserve">Uprawomocnienie się orzeczenia w przedmiocie odpowiedzialności podmiotu zbiorowego miałoby także istotny wpływ na potencjalną odpowiedzialność osoby fizycznej – reprezentanta podmiotu zbiorowego. W takim przypadku sąd miałby możliwość fakultatywnego zastosowania nadzwyczajnego złagodzenia kary lub jej warunkowego zawieszenia. W przypadku, w którym podmiot zbiorowy naprawiłby szkodę w całości do czasu orzekania w przedmiocie odpowiedzialności osoby fizycznej, nadzwyczajne złagodzenie kary miałoby charakter obligatoryjny. Warunkowe zawieszenie kary będzie możliwe na warunkach określonych w art. 60 § 5 k.k., a więc wykonanie kary 5 lat pozbawienia wolności można będzie zawiesić tytułem próby na okres 10 lat. Powyższe rozwiązania, korzystne dla osoby, o której mowa w art. 3 </w:t>
      </w:r>
      <w:proofErr w:type="spellStart"/>
      <w:r w:rsidRPr="0035048B">
        <w:rPr>
          <w:rFonts w:ascii="Arial" w:hAnsi="Arial" w:cs="Arial"/>
        </w:rPr>
        <w:t>u.o.p.z</w:t>
      </w:r>
      <w:proofErr w:type="spellEnd"/>
      <w:r w:rsidRPr="0035048B">
        <w:rPr>
          <w:rFonts w:ascii="Arial" w:hAnsi="Arial" w:cs="Arial"/>
        </w:rPr>
        <w:t xml:space="preserve">., są konsekwencją uznania, że wina w tym przypadku rozkłada się między podmiotem zbiorowym a osobą, o której mowa w art. 3 </w:t>
      </w:r>
      <w:proofErr w:type="spellStart"/>
      <w:r w:rsidRPr="0035048B">
        <w:rPr>
          <w:rFonts w:ascii="Arial" w:hAnsi="Arial" w:cs="Arial"/>
        </w:rPr>
        <w:t>u.o.p.z</w:t>
      </w:r>
      <w:proofErr w:type="spellEnd"/>
      <w:r w:rsidRPr="0035048B">
        <w:rPr>
          <w:rFonts w:ascii="Arial" w:hAnsi="Arial" w:cs="Arial"/>
        </w:rPr>
        <w:t>., a pokrzywdzony dodatkowo ma zapewnioną pełną kompensację szkody.</w:t>
      </w:r>
    </w:p>
    <w:p w14:paraId="6C5BAE91" w14:textId="77777777" w:rsidR="0035048B" w:rsidRPr="0035048B" w:rsidRDefault="0035048B" w:rsidP="0035048B">
      <w:pPr>
        <w:spacing w:after="0" w:line="300" w:lineRule="auto"/>
        <w:jc w:val="both"/>
        <w:rPr>
          <w:rFonts w:ascii="Arial" w:hAnsi="Arial" w:cs="Arial"/>
        </w:rPr>
      </w:pPr>
      <w:r w:rsidRPr="0035048B">
        <w:rPr>
          <w:rFonts w:ascii="Arial" w:hAnsi="Arial" w:cs="Arial"/>
        </w:rPr>
        <w:t>Omawiany element jest niezwykle ważny dla projektowanej nowelizacji, ponieważ w ten sposób racjonalizuje on obecny stan prawny i faktyczny, w którym reprezentant odpowiada samodzielnie i w pełni za popełnienie czynu zabronionego, który w istocie był konsekwencją dysfunkcjonalnej działalności podmiotu zbiorowego.</w:t>
      </w:r>
    </w:p>
    <w:p w14:paraId="1444E292"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Jeszcze raz należy podkreślić, że przywołany powyżej oportunistyczno-konsensualny sposób rozstrzygania o odpowiedzialności podmiotu zbiorowego byłby objęty pełną kontrolą, najpierw przez prokuratora, a następnie przez sąd. Wyklucza to ewentualne nieprawidłowości przy jego realizacji. Z drugiej strony są zabezpieczone również interesy podmiotu zbiorowego, ponieważ jego odpowiedzialność może być procedowana tylko z jego własnej i samodzielnej inicjatywy (za jego zgodą). </w:t>
      </w:r>
    </w:p>
    <w:p w14:paraId="31B4B21D" w14:textId="77777777" w:rsidR="0035048B" w:rsidRPr="0035048B" w:rsidRDefault="0035048B" w:rsidP="0035048B">
      <w:pPr>
        <w:spacing w:after="0" w:line="300" w:lineRule="auto"/>
        <w:jc w:val="both"/>
        <w:rPr>
          <w:rFonts w:ascii="Arial" w:hAnsi="Arial" w:cs="Arial"/>
        </w:rPr>
      </w:pPr>
      <w:r w:rsidRPr="0035048B">
        <w:rPr>
          <w:rFonts w:ascii="Arial" w:hAnsi="Arial" w:cs="Arial"/>
        </w:rPr>
        <w:t>Proponowane rozwiązanie powinno się także przyczynić do większej dbałości kadry zarządzającej o właściwą „kulturę organizacyjną” swojego przedsiębiorstwa, która stanowi główną podstawę unikania przez niego i jego reprezentantów odpowiedzialności penalnej.</w:t>
      </w:r>
    </w:p>
    <w:p w14:paraId="7C21C96A" w14:textId="77777777" w:rsidR="0035048B" w:rsidRPr="0035048B" w:rsidRDefault="0035048B" w:rsidP="0035048B">
      <w:pPr>
        <w:spacing w:after="0" w:line="300" w:lineRule="auto"/>
        <w:jc w:val="both"/>
        <w:rPr>
          <w:rFonts w:ascii="Arial" w:hAnsi="Arial" w:cs="Arial"/>
        </w:rPr>
      </w:pPr>
      <w:r w:rsidRPr="0035048B">
        <w:rPr>
          <w:rFonts w:ascii="Arial" w:hAnsi="Arial" w:cs="Arial"/>
        </w:rPr>
        <w:t xml:space="preserve">Z uwagi na fakt, że zgodnie z niezmienianym art. 12 </w:t>
      </w:r>
      <w:proofErr w:type="spellStart"/>
      <w:r w:rsidRPr="0035048B">
        <w:rPr>
          <w:rFonts w:ascii="Arial" w:hAnsi="Arial" w:cs="Arial"/>
        </w:rPr>
        <w:t>u.o.p.z</w:t>
      </w:r>
      <w:proofErr w:type="spellEnd"/>
      <w:r w:rsidRPr="0035048B">
        <w:rPr>
          <w:rFonts w:ascii="Arial" w:hAnsi="Arial" w:cs="Arial"/>
        </w:rPr>
        <w:t xml:space="preserve">. w szczególnie uzasadnionych wypadkach, gdy czyn zabroniony stanowiący podstawę odpowiedzialności podmiotu zbiorowego nie przyniósł temu podmiotowi korzyści, sąd może odstąpić od orzeczenia kary pieniężnej, poprzestając na orzeczeniu przepadku, zakazu lub podania wyroku do publicznej wiadomości – co nie daje możliwości orzeczenia w takim przypadku odszkodowania i zadośćuczynienia za doznaną krzywdę, w projekcie proponuje się zatem nadanie nowego brzmienia art. 12 </w:t>
      </w:r>
      <w:proofErr w:type="spellStart"/>
      <w:r w:rsidRPr="0035048B">
        <w:rPr>
          <w:rFonts w:ascii="Arial" w:hAnsi="Arial" w:cs="Arial"/>
        </w:rPr>
        <w:t>u.o.p.z</w:t>
      </w:r>
      <w:proofErr w:type="spellEnd"/>
      <w:r w:rsidRPr="0035048B">
        <w:rPr>
          <w:rFonts w:ascii="Arial" w:hAnsi="Arial" w:cs="Arial"/>
        </w:rPr>
        <w:t xml:space="preserve">. przez uzupełnienie katalogu możliwości orzeczenia w przypadku odstąpienia od orzeczenia kary pieniężnej również obowiązku naprawienia szkody lub zadośćuczynienia za doznaną krzywdę. </w:t>
      </w:r>
    </w:p>
    <w:p w14:paraId="4C19E265" w14:textId="3738E144" w:rsidR="0035048B" w:rsidRDefault="0035048B" w:rsidP="0035048B">
      <w:pPr>
        <w:spacing w:after="0" w:line="300" w:lineRule="auto"/>
        <w:jc w:val="both"/>
        <w:rPr>
          <w:rFonts w:ascii="Arial" w:hAnsi="Arial" w:cs="Arial"/>
        </w:rPr>
      </w:pPr>
      <w:r w:rsidRPr="0035048B">
        <w:rPr>
          <w:rFonts w:ascii="Arial" w:hAnsi="Arial" w:cs="Arial"/>
        </w:rPr>
        <w:t xml:space="preserve">W projekcie zaproponowano nowelizację art. 14 i art. 15 </w:t>
      </w:r>
      <w:proofErr w:type="spellStart"/>
      <w:r w:rsidRPr="0035048B">
        <w:rPr>
          <w:rFonts w:ascii="Arial" w:hAnsi="Arial" w:cs="Arial"/>
        </w:rPr>
        <w:t>u.o.p.z</w:t>
      </w:r>
      <w:proofErr w:type="spellEnd"/>
      <w:r w:rsidRPr="0035048B">
        <w:rPr>
          <w:rFonts w:ascii="Arial" w:hAnsi="Arial" w:cs="Arial"/>
        </w:rPr>
        <w:t>. przez dodanie regulacji o przedawnieniu orzekania oraz przedawnieniu wykonania kary i nałożonych środków o obowiązek naprawienia szkody lub zadośćuczynienia za doznaną krzywdę.</w:t>
      </w:r>
    </w:p>
    <w:p w14:paraId="156A5662" w14:textId="77777777" w:rsidR="0035048B" w:rsidRDefault="0035048B" w:rsidP="00BD54B9">
      <w:pPr>
        <w:spacing w:after="0" w:line="300" w:lineRule="auto"/>
        <w:jc w:val="both"/>
        <w:rPr>
          <w:rFonts w:ascii="Arial" w:hAnsi="Arial" w:cs="Arial"/>
        </w:rPr>
      </w:pPr>
    </w:p>
    <w:p w14:paraId="2D87F451" w14:textId="77777777" w:rsidR="0035048B" w:rsidRPr="0035048B" w:rsidRDefault="0035048B" w:rsidP="0035048B">
      <w:pPr>
        <w:spacing w:after="0" w:line="300" w:lineRule="auto"/>
        <w:jc w:val="both"/>
        <w:rPr>
          <w:rFonts w:ascii="Arial" w:hAnsi="Arial" w:cs="Arial"/>
        </w:rPr>
      </w:pPr>
      <w:r w:rsidRPr="0035048B">
        <w:rPr>
          <w:rFonts w:ascii="Arial" w:hAnsi="Arial" w:cs="Arial"/>
        </w:rPr>
        <w:t>Przedmiotowy projekt aktu prawnego wraz z Uzasadnieniem oraz Oceną Skutków Regulacji dostępny jest na stronach Rządowego Centrum Legislacji pod adresem:</w:t>
      </w:r>
    </w:p>
    <w:p w14:paraId="2AE66586" w14:textId="27AABF6E" w:rsidR="0035048B" w:rsidRDefault="0035048B" w:rsidP="0035048B">
      <w:pPr>
        <w:spacing w:after="0" w:line="300" w:lineRule="auto"/>
        <w:jc w:val="both"/>
        <w:rPr>
          <w:rFonts w:ascii="Arial" w:hAnsi="Arial" w:cs="Arial"/>
        </w:rPr>
      </w:pPr>
      <w:hyperlink r:id="rId7" w:history="1">
        <w:r w:rsidRPr="000A587C">
          <w:rPr>
            <w:rStyle w:val="Hipercze"/>
            <w:rFonts w:ascii="Arial" w:hAnsi="Arial" w:cs="Arial"/>
          </w:rPr>
          <w:t>https://legislacja.rcl.gov.pl/projekt/12411552/kat</w:t>
        </w:r>
        <w:r w:rsidRPr="000A587C">
          <w:rPr>
            <w:rStyle w:val="Hipercze"/>
            <w:rFonts w:ascii="Arial" w:hAnsi="Arial" w:cs="Arial"/>
          </w:rPr>
          <w:t>a</w:t>
        </w:r>
        <w:r w:rsidRPr="000A587C">
          <w:rPr>
            <w:rStyle w:val="Hipercze"/>
            <w:rFonts w:ascii="Arial" w:hAnsi="Arial" w:cs="Arial"/>
          </w:rPr>
          <w:t>log/13210394#13210394</w:t>
        </w:r>
      </w:hyperlink>
      <w:r>
        <w:rPr>
          <w:rFonts w:ascii="Arial" w:hAnsi="Arial" w:cs="Arial"/>
        </w:rPr>
        <w:t xml:space="preserve"> </w:t>
      </w:r>
    </w:p>
    <w:p w14:paraId="76BCFE37" w14:textId="77777777" w:rsidR="0035048B" w:rsidRDefault="0035048B" w:rsidP="00BD54B9">
      <w:pPr>
        <w:spacing w:after="0" w:line="300" w:lineRule="auto"/>
        <w:jc w:val="both"/>
        <w:rPr>
          <w:rFonts w:ascii="Arial" w:hAnsi="Arial" w:cs="Arial"/>
        </w:rPr>
      </w:pPr>
    </w:p>
    <w:p w14:paraId="2A2A704C" w14:textId="46267E24" w:rsidR="00C159FE" w:rsidRDefault="00C159FE" w:rsidP="00BD54B9">
      <w:pPr>
        <w:spacing w:after="0" w:line="300" w:lineRule="auto"/>
        <w:jc w:val="both"/>
        <w:rPr>
          <w:rFonts w:ascii="Arial" w:hAnsi="Arial" w:cs="Arial"/>
        </w:rPr>
      </w:pPr>
      <w:r w:rsidRPr="00C159FE">
        <w:rPr>
          <w:rFonts w:ascii="Arial" w:hAnsi="Arial" w:cs="Arial"/>
        </w:rPr>
        <w:t>Projekt jest obecnie jednocześnie na etapie uzgodnień, konsultacji publicznych i opiniowania.</w:t>
      </w:r>
    </w:p>
    <w:p w14:paraId="5DFCC467" w14:textId="77777777" w:rsidR="0035048B" w:rsidRDefault="0035048B" w:rsidP="00BD54B9">
      <w:pPr>
        <w:spacing w:after="0" w:line="300" w:lineRule="auto"/>
        <w:jc w:val="both"/>
        <w:rPr>
          <w:rFonts w:ascii="Arial" w:hAnsi="Arial" w:cs="Arial"/>
        </w:rPr>
      </w:pPr>
    </w:p>
    <w:p w14:paraId="173545D9" w14:textId="77777777" w:rsidR="00BD54B9" w:rsidRDefault="00BD54B9" w:rsidP="00BD54B9">
      <w:pPr>
        <w:spacing w:after="0" w:line="300" w:lineRule="auto"/>
        <w:jc w:val="both"/>
        <w:rPr>
          <w:rFonts w:ascii="Arial" w:hAnsi="Arial" w:cs="Arial"/>
        </w:rPr>
      </w:pPr>
      <w:r>
        <w:rPr>
          <w:rFonts w:ascii="Arial" w:hAnsi="Arial" w:cs="Arial"/>
        </w:rPr>
        <w:lastRenderedPageBreak/>
        <w:t>Projekty rozporządzeń:</w:t>
      </w:r>
    </w:p>
    <w:p w14:paraId="6C51B656" w14:textId="77777777" w:rsidR="001A1A77" w:rsidRDefault="001A1A77" w:rsidP="00BD54B9">
      <w:pPr>
        <w:spacing w:after="0" w:line="300" w:lineRule="auto"/>
        <w:jc w:val="both"/>
        <w:rPr>
          <w:rFonts w:ascii="Arial" w:hAnsi="Arial" w:cs="Arial"/>
        </w:rPr>
      </w:pPr>
    </w:p>
    <w:p w14:paraId="3E1F4D47" w14:textId="1F62DF6F" w:rsidR="001A1A77" w:rsidRPr="001951F1" w:rsidRDefault="001951F1" w:rsidP="00BD54B9">
      <w:pPr>
        <w:pStyle w:val="Akapitzlist"/>
        <w:numPr>
          <w:ilvl w:val="0"/>
          <w:numId w:val="4"/>
        </w:numPr>
        <w:spacing w:after="0" w:line="300" w:lineRule="auto"/>
        <w:jc w:val="both"/>
        <w:rPr>
          <w:rFonts w:ascii="Arial" w:hAnsi="Arial" w:cs="Arial"/>
          <w:b/>
          <w:bCs/>
          <w:u w:val="single"/>
        </w:rPr>
      </w:pPr>
      <w:r w:rsidRPr="001951F1">
        <w:rPr>
          <w:rFonts w:ascii="Arial" w:hAnsi="Arial" w:cs="Arial"/>
          <w:b/>
          <w:bCs/>
          <w:u w:val="single"/>
        </w:rPr>
        <w:t>P</w:t>
      </w:r>
      <w:r w:rsidRPr="001951F1">
        <w:rPr>
          <w:rFonts w:ascii="Arial" w:hAnsi="Arial" w:cs="Arial"/>
          <w:b/>
          <w:bCs/>
          <w:u w:val="single"/>
        </w:rPr>
        <w:t>rojekt rozporządzenia Ministra Finansów i Gospodarki w sprawie systemów, w których istnieje ryzyko systemowe (40/2026).</w:t>
      </w:r>
    </w:p>
    <w:p w14:paraId="76CA2421" w14:textId="77777777" w:rsidR="001A1A77" w:rsidRPr="001951F1" w:rsidRDefault="001A1A77" w:rsidP="001951F1">
      <w:pPr>
        <w:spacing w:after="0" w:line="300" w:lineRule="auto"/>
        <w:jc w:val="both"/>
        <w:rPr>
          <w:rFonts w:ascii="Arial" w:hAnsi="Arial" w:cs="Arial"/>
        </w:rPr>
      </w:pPr>
    </w:p>
    <w:p w14:paraId="698292E1" w14:textId="77777777" w:rsidR="001951F1" w:rsidRPr="001951F1" w:rsidRDefault="001951F1" w:rsidP="001951F1">
      <w:pPr>
        <w:spacing w:after="0" w:line="300" w:lineRule="auto"/>
        <w:jc w:val="both"/>
        <w:rPr>
          <w:rFonts w:ascii="Arial" w:hAnsi="Arial" w:cs="Arial"/>
        </w:rPr>
      </w:pPr>
      <w:r w:rsidRPr="001951F1">
        <w:rPr>
          <w:rFonts w:ascii="Arial" w:hAnsi="Arial" w:cs="Arial"/>
        </w:rPr>
        <w:t xml:space="preserve">Rozporządzenie stanowi wykonanie, przewidzianego w art. 15 ust. 3 ustawy z dnia 24 sierpnia 2001 r. o ostateczności rozrachunku w systemach płatności i systemach rozrachunku papierów wartościowych oraz zasadach nadzoru nad tymi systemami (Dz. U. z 2024 r. poz. 585, z </w:t>
      </w:r>
      <w:proofErr w:type="spellStart"/>
      <w:r w:rsidRPr="001951F1">
        <w:rPr>
          <w:rFonts w:ascii="Arial" w:hAnsi="Arial" w:cs="Arial"/>
        </w:rPr>
        <w:t>późn</w:t>
      </w:r>
      <w:proofErr w:type="spellEnd"/>
      <w:r w:rsidRPr="001951F1">
        <w:rPr>
          <w:rFonts w:ascii="Arial" w:hAnsi="Arial" w:cs="Arial"/>
        </w:rPr>
        <w:t xml:space="preserve">. zm.), zwanej dalej „ustawą o ostateczności rozrachunku”, upoważnienia dla ministra właściwego do spraw instytucji finansowych do określenia systemów innych niż wskazanych w art. 15 ust. 1 ustawy o ostateczności rozrachunku, w których istnieje ryzyko wystąpienia ryzyka systemowego, uwzględniając konieczność zapewnienia stabilności i bezpieczeństwa systemów płatności. </w:t>
      </w:r>
    </w:p>
    <w:p w14:paraId="5149A757" w14:textId="77777777" w:rsidR="001951F1" w:rsidRPr="001951F1" w:rsidRDefault="001951F1" w:rsidP="001951F1">
      <w:pPr>
        <w:spacing w:after="0" w:line="300" w:lineRule="auto"/>
        <w:jc w:val="both"/>
        <w:rPr>
          <w:rFonts w:ascii="Arial" w:hAnsi="Arial" w:cs="Arial"/>
        </w:rPr>
      </w:pPr>
      <w:r w:rsidRPr="001951F1">
        <w:rPr>
          <w:rFonts w:ascii="Arial" w:hAnsi="Arial" w:cs="Arial"/>
        </w:rPr>
        <w:t xml:space="preserve">Konieczność wydania rozporządzenia wynika ze zmian do art. 15 ustawy o ostateczności rozrachunku wprowadzanych ustawą z dnia 23 stycznia 2026 r. o zmianie niektórych ustaw związanych z funkcjonowaniem rynku finansowego oraz ochroną uczestników tego rynku (Dz. U. poz. 340), zwanej dalej „ustawą zmieniającą”. Ustawa zmieniająca dokonuje nowelizacji przepisów art. 15 ustawy, w wyniku czego jest zmieniana podstawa prawna do wydania rozporządzenia. </w:t>
      </w:r>
    </w:p>
    <w:p w14:paraId="11A59A23" w14:textId="77777777" w:rsidR="001951F1" w:rsidRPr="001951F1" w:rsidRDefault="001951F1" w:rsidP="001951F1">
      <w:pPr>
        <w:spacing w:after="0" w:line="300" w:lineRule="auto"/>
        <w:jc w:val="both"/>
        <w:rPr>
          <w:rFonts w:ascii="Arial" w:hAnsi="Arial" w:cs="Arial"/>
        </w:rPr>
      </w:pPr>
      <w:r w:rsidRPr="001951F1">
        <w:rPr>
          <w:rFonts w:ascii="Arial" w:hAnsi="Arial" w:cs="Arial"/>
        </w:rPr>
        <w:t>Wskazane w tym projekcie rozporządzenia systemy płatności to systemy, w których istnieje ryzyko wystąpienia sytuacji, w której niewywiązanie się ze zobowiązań przez uczestnika danego systemu może spowodować niewywiązanie się ze zobowiązań przez innego jego uczestnika lub uczestników, tj. istnieje ryzyko systemowe. Treść tego projektu rozporządzenia oraz systemy w nim wskazane są tożsame z rozporządzeniem Ministra Finansów z dnia 15 czerwca 2016 r. w sprawie określenia systemów, w których istnieje ryzyko systemowe (Dz. U. poz. 873), tj. określa się w nim, że systemami płatności, w których istnieje ryzyko systemowe, są:</w:t>
      </w:r>
    </w:p>
    <w:p w14:paraId="1916E8EA" w14:textId="77777777" w:rsidR="001951F1" w:rsidRPr="001951F1" w:rsidRDefault="001951F1" w:rsidP="001951F1">
      <w:pPr>
        <w:pStyle w:val="Akapitzlist"/>
        <w:numPr>
          <w:ilvl w:val="0"/>
          <w:numId w:val="12"/>
        </w:numPr>
        <w:spacing w:after="0" w:line="300" w:lineRule="auto"/>
        <w:jc w:val="both"/>
        <w:rPr>
          <w:rFonts w:ascii="Arial" w:hAnsi="Arial" w:cs="Arial"/>
        </w:rPr>
      </w:pPr>
      <w:r w:rsidRPr="001951F1">
        <w:rPr>
          <w:rFonts w:ascii="Arial" w:hAnsi="Arial" w:cs="Arial"/>
        </w:rPr>
        <w:t xml:space="preserve">system </w:t>
      </w:r>
      <w:proofErr w:type="spellStart"/>
      <w:r w:rsidRPr="001951F1">
        <w:rPr>
          <w:rFonts w:ascii="Arial" w:hAnsi="Arial" w:cs="Arial"/>
        </w:rPr>
        <w:t>Elixir</w:t>
      </w:r>
      <w:proofErr w:type="spellEnd"/>
      <w:r w:rsidRPr="001951F1">
        <w:rPr>
          <w:rFonts w:ascii="Arial" w:hAnsi="Arial" w:cs="Arial"/>
        </w:rPr>
        <w:t>, prowadzony przez Krajową Izbę Rozliczeniową Spółkę Akcyjną, z siedzibą w Warszawie;</w:t>
      </w:r>
    </w:p>
    <w:p w14:paraId="1EF21554" w14:textId="77777777" w:rsidR="001951F1" w:rsidRPr="001951F1" w:rsidRDefault="001951F1" w:rsidP="001951F1">
      <w:pPr>
        <w:pStyle w:val="Akapitzlist"/>
        <w:numPr>
          <w:ilvl w:val="0"/>
          <w:numId w:val="12"/>
        </w:numPr>
        <w:spacing w:after="0" w:line="300" w:lineRule="auto"/>
        <w:jc w:val="both"/>
        <w:rPr>
          <w:rFonts w:ascii="Arial" w:hAnsi="Arial" w:cs="Arial"/>
        </w:rPr>
      </w:pPr>
      <w:r w:rsidRPr="001951F1">
        <w:rPr>
          <w:rFonts w:ascii="Arial" w:hAnsi="Arial" w:cs="Arial"/>
        </w:rPr>
        <w:t xml:space="preserve">system Euro </w:t>
      </w:r>
      <w:proofErr w:type="spellStart"/>
      <w:r w:rsidRPr="001951F1">
        <w:rPr>
          <w:rFonts w:ascii="Arial" w:hAnsi="Arial" w:cs="Arial"/>
        </w:rPr>
        <w:t>Elixir</w:t>
      </w:r>
      <w:proofErr w:type="spellEnd"/>
      <w:r w:rsidRPr="001951F1">
        <w:rPr>
          <w:rFonts w:ascii="Arial" w:hAnsi="Arial" w:cs="Arial"/>
        </w:rPr>
        <w:t>, prowadzony przez Krajową Izbę Rozliczeniową Spółkę Akcyjną, z siedzibą w Warszawie.</w:t>
      </w:r>
    </w:p>
    <w:p w14:paraId="0CB1796A" w14:textId="4828F375" w:rsidR="001951F1" w:rsidRPr="001951F1" w:rsidRDefault="001951F1" w:rsidP="001951F1">
      <w:pPr>
        <w:spacing w:after="0" w:line="300" w:lineRule="auto"/>
        <w:jc w:val="both"/>
        <w:rPr>
          <w:rFonts w:ascii="Arial" w:hAnsi="Arial" w:cs="Arial"/>
        </w:rPr>
      </w:pPr>
      <w:r w:rsidRPr="001951F1">
        <w:rPr>
          <w:rFonts w:ascii="Arial" w:hAnsi="Arial" w:cs="Arial"/>
        </w:rPr>
        <w:t>Rozporządzenie zostanie wydane po zasięgnięciu opinii Prezesa Narodowego Banku Polskiego (NBP) oraz Komisji Nadzoru Finansowego (KNF). Stanowisko przedstawione przez Prezesa NBP oraz KNF w trybie opiniowania projektu będzie równoznaczne z zasięgnięciem opinii, o której mowa w art. 15 ust. 3 ustawy o ostateczności rozrachunku.</w:t>
      </w:r>
    </w:p>
    <w:p w14:paraId="78F2251C" w14:textId="77777777" w:rsidR="001951F1" w:rsidRDefault="001951F1" w:rsidP="001A1A77">
      <w:pPr>
        <w:spacing w:after="0" w:line="300" w:lineRule="auto"/>
        <w:jc w:val="both"/>
        <w:rPr>
          <w:rFonts w:ascii="Arial" w:hAnsi="Arial" w:cs="Arial"/>
        </w:rPr>
      </w:pPr>
    </w:p>
    <w:p w14:paraId="1E5048DB" w14:textId="77777777" w:rsidR="00D56706" w:rsidRPr="00D56706" w:rsidRDefault="00D56706" w:rsidP="00D56706">
      <w:pPr>
        <w:spacing w:after="0" w:line="300" w:lineRule="auto"/>
        <w:jc w:val="both"/>
        <w:rPr>
          <w:rFonts w:ascii="Arial" w:hAnsi="Arial" w:cs="Arial"/>
        </w:rPr>
      </w:pPr>
      <w:r w:rsidRPr="00D56706">
        <w:rPr>
          <w:rFonts w:ascii="Arial" w:hAnsi="Arial" w:cs="Arial"/>
        </w:rPr>
        <w:t>Przedmiotowy projekt aktu prawnego wraz z Uzasadnieniem oraz Oceną Skutków Regulacji dostępny jest na stronach Rządowego Centrum Legislacji pod adresem:</w:t>
      </w:r>
    </w:p>
    <w:p w14:paraId="5FA8E537" w14:textId="50869213" w:rsidR="001951F1" w:rsidRDefault="00D56706" w:rsidP="00D56706">
      <w:pPr>
        <w:spacing w:after="0" w:line="300" w:lineRule="auto"/>
        <w:jc w:val="both"/>
        <w:rPr>
          <w:rFonts w:ascii="Arial" w:hAnsi="Arial" w:cs="Arial"/>
        </w:rPr>
      </w:pPr>
      <w:hyperlink r:id="rId8" w:history="1">
        <w:r w:rsidRPr="000A587C">
          <w:rPr>
            <w:rStyle w:val="Hipercze"/>
            <w:rFonts w:ascii="Arial" w:hAnsi="Arial" w:cs="Arial"/>
          </w:rPr>
          <w:t>https://legislacja.rcl.gov.pl/projekt</w:t>
        </w:r>
        <w:r w:rsidRPr="000A587C">
          <w:rPr>
            <w:rStyle w:val="Hipercze"/>
            <w:rFonts w:ascii="Arial" w:hAnsi="Arial" w:cs="Arial"/>
          </w:rPr>
          <w:t>/</w:t>
        </w:r>
        <w:r w:rsidRPr="000A587C">
          <w:rPr>
            <w:rStyle w:val="Hipercze"/>
            <w:rFonts w:ascii="Arial" w:hAnsi="Arial" w:cs="Arial"/>
          </w:rPr>
          <w:t>12411302/katalog/13209244#13209244</w:t>
        </w:r>
      </w:hyperlink>
      <w:r>
        <w:rPr>
          <w:rFonts w:ascii="Arial" w:hAnsi="Arial" w:cs="Arial"/>
        </w:rPr>
        <w:t xml:space="preserve"> </w:t>
      </w:r>
    </w:p>
    <w:p w14:paraId="4C090993" w14:textId="77777777" w:rsidR="00D56706" w:rsidRDefault="00D56706" w:rsidP="00D56706">
      <w:pPr>
        <w:spacing w:after="0" w:line="300" w:lineRule="auto"/>
        <w:jc w:val="both"/>
        <w:rPr>
          <w:rFonts w:ascii="Arial" w:hAnsi="Arial" w:cs="Arial"/>
        </w:rPr>
      </w:pPr>
    </w:p>
    <w:p w14:paraId="3D0F85BA" w14:textId="7F8857F6" w:rsidR="00D56706" w:rsidRDefault="00D56706" w:rsidP="00D56706">
      <w:pPr>
        <w:spacing w:after="0" w:line="300" w:lineRule="auto"/>
        <w:jc w:val="both"/>
        <w:rPr>
          <w:rFonts w:ascii="Arial" w:hAnsi="Arial" w:cs="Arial"/>
        </w:rPr>
      </w:pPr>
      <w:r w:rsidRPr="00D56706">
        <w:rPr>
          <w:rFonts w:ascii="Arial" w:hAnsi="Arial" w:cs="Arial"/>
        </w:rPr>
        <w:t>Projekt jest obecnie jednocześnie na etapie uzgodnień, konsultacji publicznych i opiniowania.</w:t>
      </w:r>
    </w:p>
    <w:p w14:paraId="3FE8B88A" w14:textId="77777777" w:rsidR="001951F1" w:rsidRDefault="001951F1" w:rsidP="001A1A77">
      <w:pPr>
        <w:spacing w:after="0" w:line="300" w:lineRule="auto"/>
        <w:jc w:val="both"/>
        <w:rPr>
          <w:rFonts w:ascii="Arial" w:hAnsi="Arial" w:cs="Arial"/>
        </w:rPr>
      </w:pPr>
    </w:p>
    <w:p w14:paraId="17F8F7E8" w14:textId="77777777" w:rsidR="00D56706" w:rsidRDefault="00D56706" w:rsidP="001A1A77">
      <w:pPr>
        <w:spacing w:after="0" w:line="300" w:lineRule="auto"/>
        <w:jc w:val="both"/>
        <w:rPr>
          <w:rFonts w:ascii="Arial" w:hAnsi="Arial" w:cs="Arial"/>
        </w:rPr>
      </w:pPr>
    </w:p>
    <w:p w14:paraId="73B2CDF2" w14:textId="77777777" w:rsidR="00D56706" w:rsidRPr="001A1A77" w:rsidRDefault="00D56706" w:rsidP="001A1A77">
      <w:pPr>
        <w:spacing w:after="0" w:line="300" w:lineRule="auto"/>
        <w:jc w:val="both"/>
        <w:rPr>
          <w:rFonts w:ascii="Arial" w:hAnsi="Arial" w:cs="Arial"/>
        </w:rPr>
      </w:pPr>
    </w:p>
    <w:p w14:paraId="466B4238" w14:textId="41F66961" w:rsidR="001A1A77" w:rsidRPr="00354531" w:rsidRDefault="00354531" w:rsidP="00BD54B9">
      <w:pPr>
        <w:pStyle w:val="Akapitzlist"/>
        <w:numPr>
          <w:ilvl w:val="0"/>
          <w:numId w:val="4"/>
        </w:numPr>
        <w:spacing w:after="0" w:line="300" w:lineRule="auto"/>
        <w:jc w:val="both"/>
        <w:rPr>
          <w:rFonts w:ascii="Arial" w:hAnsi="Arial" w:cs="Arial"/>
          <w:b/>
          <w:bCs/>
          <w:u w:val="single"/>
        </w:rPr>
      </w:pPr>
      <w:r w:rsidRPr="00354531">
        <w:rPr>
          <w:rFonts w:ascii="Arial" w:hAnsi="Arial" w:cs="Arial"/>
          <w:b/>
          <w:bCs/>
          <w:u w:val="single"/>
        </w:rPr>
        <w:lastRenderedPageBreak/>
        <w:t>P</w:t>
      </w:r>
      <w:r w:rsidRPr="00354531">
        <w:rPr>
          <w:rFonts w:ascii="Arial" w:hAnsi="Arial" w:cs="Arial"/>
          <w:b/>
          <w:bCs/>
          <w:u w:val="single"/>
        </w:rPr>
        <w:t>rojekt rozporządzenia Ministra Finansów i Gospodarki zmieniającego rozporządzenie w sprawie towarów, których przewóz jest objęty systemem monitorowania drogowego i kolejowego przewozu towarów oraz obrotu paliwami opałowymi (WPL 35/2026).</w:t>
      </w:r>
    </w:p>
    <w:p w14:paraId="641998B9" w14:textId="77777777" w:rsidR="001A1A77" w:rsidRPr="00354531" w:rsidRDefault="001A1A77" w:rsidP="00354531">
      <w:pPr>
        <w:spacing w:after="0" w:line="300" w:lineRule="auto"/>
        <w:jc w:val="both"/>
        <w:rPr>
          <w:rFonts w:ascii="Arial" w:hAnsi="Arial" w:cs="Arial"/>
        </w:rPr>
      </w:pPr>
    </w:p>
    <w:p w14:paraId="77769D7A" w14:textId="77777777" w:rsidR="00354531" w:rsidRPr="00354531" w:rsidRDefault="00354531" w:rsidP="00354531">
      <w:pPr>
        <w:spacing w:after="0" w:line="300" w:lineRule="auto"/>
        <w:jc w:val="both"/>
        <w:rPr>
          <w:rFonts w:ascii="Arial" w:hAnsi="Arial" w:cs="Arial"/>
        </w:rPr>
      </w:pPr>
      <w:r w:rsidRPr="00354531">
        <w:rPr>
          <w:rFonts w:ascii="Arial" w:hAnsi="Arial" w:cs="Arial"/>
        </w:rPr>
        <w:t xml:space="preserve">Na podstawie rozporządzenia Ministra Finansów z dnia 25 kwietnia 2022 r. w sprawie towarów, których przewóz jest objęty systemem monitorowania drogowego i kolejowego przewozu towarów oraz obrotu paliwami opałowymi (Dz. U. z 2024 r. poz. 1157, z </w:t>
      </w:r>
      <w:proofErr w:type="spellStart"/>
      <w:r w:rsidRPr="00354531">
        <w:rPr>
          <w:rFonts w:ascii="Arial" w:hAnsi="Arial" w:cs="Arial"/>
        </w:rPr>
        <w:t>późn</w:t>
      </w:r>
      <w:proofErr w:type="spellEnd"/>
      <w:r w:rsidRPr="00354531">
        <w:rPr>
          <w:rFonts w:ascii="Arial" w:hAnsi="Arial" w:cs="Arial"/>
        </w:rPr>
        <w:t xml:space="preserve">. </w:t>
      </w:r>
      <w:proofErr w:type="spellStart"/>
      <w:r w:rsidRPr="00354531">
        <w:rPr>
          <w:rFonts w:ascii="Arial" w:hAnsi="Arial" w:cs="Arial"/>
        </w:rPr>
        <w:t>zm</w:t>
      </w:r>
      <w:proofErr w:type="spellEnd"/>
      <w:r w:rsidRPr="00354531">
        <w:rPr>
          <w:rFonts w:ascii="Arial" w:hAnsi="Arial" w:cs="Arial"/>
        </w:rPr>
        <w:t xml:space="preserve">), systemowi monitorowania drogowego i kolejowego przewozu towarów, dalej „systemowi SENT”, podlega m.in. przewóz odpadów, w tym złomu stalowego i złomu metali nieżelaznych. Przewóz odpadów został objęty systemem SENT 22 lutego 2022 r. na wniosek Ministerstwa Klimatu i Środowiska oraz Głównego Inspektora Ochrony Środowiska. </w:t>
      </w:r>
    </w:p>
    <w:p w14:paraId="1C845041" w14:textId="77777777" w:rsidR="00354531" w:rsidRPr="00354531" w:rsidRDefault="00354531" w:rsidP="00354531">
      <w:pPr>
        <w:spacing w:after="0" w:line="300" w:lineRule="auto"/>
        <w:jc w:val="both"/>
        <w:rPr>
          <w:rFonts w:ascii="Arial" w:hAnsi="Arial" w:cs="Arial"/>
        </w:rPr>
      </w:pPr>
      <w:r w:rsidRPr="00354531">
        <w:rPr>
          <w:rFonts w:ascii="Arial" w:hAnsi="Arial" w:cs="Arial"/>
        </w:rPr>
        <w:t xml:space="preserve">Sygnały o potrzebie wyłączenia złomu metali z systemu SENT były zgłaszane przez przedstawicieli branży hutniczej i Ministerstwo Energii. </w:t>
      </w:r>
    </w:p>
    <w:p w14:paraId="1B078117" w14:textId="77777777" w:rsidR="00354531" w:rsidRPr="00354531" w:rsidRDefault="00354531" w:rsidP="00354531">
      <w:pPr>
        <w:spacing w:after="0" w:line="300" w:lineRule="auto"/>
        <w:jc w:val="both"/>
        <w:rPr>
          <w:rFonts w:ascii="Arial" w:hAnsi="Arial" w:cs="Arial"/>
        </w:rPr>
      </w:pPr>
      <w:r w:rsidRPr="00354531">
        <w:rPr>
          <w:rFonts w:ascii="Arial" w:hAnsi="Arial" w:cs="Arial"/>
        </w:rPr>
        <w:t>W ocenie przedstawicieli branży hutniczej oraz Ministerstwa Energii nałożone procedury administracyjne na podmioty przewożące te towary, przyczyniły się do zmniejszenia konkurencyjności hut krajowych. Ponadto złom metali stanowi wysoką wartość ekonomiczną i nie jest odpadem charakteryzującym się podwyższonym ryzykiem dla środowiska, które może prowadzić do nadużyć. Stałe zapotrzebowanie na te produkty w gospodarce, czyni je wartościowym surowcem wtórnym i nie zachodzi obawa nieprawidłowości w ich przewozie. W związku z sygnalizowaniem przez branżę hutniczą potrzeby wyłączenia złomu metali z systemu SENT, Ministerstwo Finansów uzyskało rekomendację Ministerstwa Klimatu i Środowiska oraz wskazanie listy kodów odpadów, które należy wyłączyć z monitorowania systemu SENT.</w:t>
      </w:r>
    </w:p>
    <w:p w14:paraId="09F02108" w14:textId="77777777" w:rsidR="00354531" w:rsidRPr="00354531" w:rsidRDefault="00354531" w:rsidP="00354531">
      <w:pPr>
        <w:spacing w:after="0" w:line="300" w:lineRule="auto"/>
        <w:jc w:val="both"/>
        <w:rPr>
          <w:rFonts w:ascii="Arial" w:hAnsi="Arial" w:cs="Arial"/>
        </w:rPr>
      </w:pPr>
      <w:r w:rsidRPr="00354531">
        <w:rPr>
          <w:rFonts w:ascii="Arial" w:hAnsi="Arial" w:cs="Arial"/>
        </w:rPr>
        <w:t xml:space="preserve">Proponuje się wyłączenie z obowiązku monitorowania systemem SENT odpadów wymienionych w załączniku do rozporządzenia Ministra Klimatu z dnia 2 stycznia 2020 r. w sprawie katalogu odpadów (Dz. U. poz. 10) zgodnie z listą odpadów przedstawioną przez Ministerstwo Klimatu i Środowiska oznaczonych kodami: </w:t>
      </w:r>
    </w:p>
    <w:p w14:paraId="5C2FE2EE"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02 01 10 - odpady metalowe, </w:t>
      </w:r>
    </w:p>
    <w:p w14:paraId="3421B90D"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12 01 01 - odpady z toczenia i piłowania żelaza oraz jego stopów, </w:t>
      </w:r>
    </w:p>
    <w:p w14:paraId="0CC4F37B"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12 01 03 - odpady z toczenia i piłowania metali nieżelaznych, </w:t>
      </w:r>
    </w:p>
    <w:p w14:paraId="7ABD5B4B"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15 01 04 - opakowania z metali, </w:t>
      </w:r>
    </w:p>
    <w:p w14:paraId="4D64537E"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16 01 17 - metale żelazne, </w:t>
      </w:r>
    </w:p>
    <w:p w14:paraId="1CE3DD5F"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16 01 18 - metale nieżelazne, </w:t>
      </w:r>
    </w:p>
    <w:p w14:paraId="6CB03BC2"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01 - miedź, brąz, mosiądz, </w:t>
      </w:r>
    </w:p>
    <w:p w14:paraId="3FF16ECC"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02 - aluminium, </w:t>
      </w:r>
    </w:p>
    <w:p w14:paraId="2C34628D"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03 - ołów, </w:t>
      </w:r>
    </w:p>
    <w:p w14:paraId="70B577E9"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04 - cynk, </w:t>
      </w:r>
    </w:p>
    <w:p w14:paraId="7CC62ACA"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05 - żelazo i stal, </w:t>
      </w:r>
    </w:p>
    <w:p w14:paraId="59647F0B"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06 - cyna, </w:t>
      </w:r>
    </w:p>
    <w:p w14:paraId="7F6AA5FB"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17 04 07 - mieszaniny metali, </w:t>
      </w:r>
    </w:p>
    <w:p w14:paraId="396E77FC"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19 01 02 - złom żelazny usunięty z popiołów paleniskowych, </w:t>
      </w:r>
    </w:p>
    <w:p w14:paraId="5DFDC44E"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19 10 01 - odpady żelaza i stali, </w:t>
      </w:r>
    </w:p>
    <w:p w14:paraId="6B60C24B"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lastRenderedPageBreak/>
        <w:t xml:space="preserve">19 10 02 - odpady metali nieżelaznych, </w:t>
      </w:r>
    </w:p>
    <w:p w14:paraId="7A0AAEE7"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19 12 02 - metale żelazne, </w:t>
      </w:r>
    </w:p>
    <w:p w14:paraId="06E4D745"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19 12 03 - metale nieżelazne, </w:t>
      </w:r>
    </w:p>
    <w:p w14:paraId="14233594" w14:textId="77777777" w:rsidR="00354531" w:rsidRPr="00354531" w:rsidRDefault="00354531" w:rsidP="00354531">
      <w:pPr>
        <w:pStyle w:val="Akapitzlist"/>
        <w:numPr>
          <w:ilvl w:val="0"/>
          <w:numId w:val="13"/>
        </w:numPr>
        <w:spacing w:after="0" w:line="300" w:lineRule="auto"/>
        <w:jc w:val="both"/>
        <w:rPr>
          <w:rFonts w:ascii="Arial" w:hAnsi="Arial" w:cs="Arial"/>
        </w:rPr>
      </w:pPr>
      <w:r w:rsidRPr="00354531">
        <w:rPr>
          <w:rFonts w:ascii="Arial" w:hAnsi="Arial" w:cs="Arial"/>
        </w:rPr>
        <w:t xml:space="preserve">20 01 40 - metale. </w:t>
      </w:r>
    </w:p>
    <w:p w14:paraId="1216D46A" w14:textId="25CB3B7E" w:rsidR="00354531" w:rsidRPr="00354531" w:rsidRDefault="00354531" w:rsidP="00354531">
      <w:pPr>
        <w:spacing w:after="0" w:line="300" w:lineRule="auto"/>
        <w:jc w:val="both"/>
        <w:rPr>
          <w:rFonts w:ascii="Arial" w:hAnsi="Arial" w:cs="Arial"/>
        </w:rPr>
      </w:pPr>
      <w:r w:rsidRPr="00354531">
        <w:rPr>
          <w:rFonts w:ascii="Arial" w:hAnsi="Arial" w:cs="Arial"/>
        </w:rPr>
        <w:t>Wdrażana zmiana zmniejszy obciążenia dla podmiotów gospodarczych co w konsekwencji przełoży się na konkurencyjność rynku krajowego w stosunku do towarów przywożonych z innych krajów.</w:t>
      </w:r>
    </w:p>
    <w:p w14:paraId="6E737B16" w14:textId="77777777" w:rsidR="00354531" w:rsidRDefault="00354531" w:rsidP="001A1A77">
      <w:pPr>
        <w:spacing w:after="0" w:line="300" w:lineRule="auto"/>
        <w:jc w:val="both"/>
        <w:rPr>
          <w:rFonts w:ascii="Arial" w:hAnsi="Arial" w:cs="Arial"/>
        </w:rPr>
      </w:pPr>
    </w:p>
    <w:p w14:paraId="610498DD" w14:textId="77777777" w:rsidR="00354531" w:rsidRPr="00354531" w:rsidRDefault="00354531" w:rsidP="00354531">
      <w:pPr>
        <w:spacing w:after="0" w:line="300" w:lineRule="auto"/>
        <w:jc w:val="both"/>
        <w:rPr>
          <w:rFonts w:ascii="Arial" w:hAnsi="Arial" w:cs="Arial"/>
        </w:rPr>
      </w:pPr>
      <w:r w:rsidRPr="00354531">
        <w:rPr>
          <w:rFonts w:ascii="Arial" w:hAnsi="Arial" w:cs="Arial"/>
        </w:rPr>
        <w:t>Przedmiotowy projekt aktu prawnego wraz z Uzasadnieniem oraz Oceną Skutków Regulacji dostępny jest na stronach Rządowego Centrum Legislacji pod adresem:</w:t>
      </w:r>
    </w:p>
    <w:p w14:paraId="36B0E446" w14:textId="50BB0CEF" w:rsidR="00354531" w:rsidRDefault="00354531" w:rsidP="00354531">
      <w:pPr>
        <w:spacing w:after="0" w:line="300" w:lineRule="auto"/>
        <w:jc w:val="both"/>
        <w:rPr>
          <w:rFonts w:ascii="Arial" w:hAnsi="Arial" w:cs="Arial"/>
        </w:rPr>
      </w:pPr>
      <w:hyperlink r:id="rId9" w:history="1">
        <w:r w:rsidRPr="000A587C">
          <w:rPr>
            <w:rStyle w:val="Hipercze"/>
            <w:rFonts w:ascii="Arial" w:hAnsi="Arial" w:cs="Arial"/>
          </w:rPr>
          <w:t>https://legislacja.rcl.gov.pl/projekt/12411352/katalog/1320</w:t>
        </w:r>
        <w:r w:rsidRPr="000A587C">
          <w:rPr>
            <w:rStyle w:val="Hipercze"/>
            <w:rFonts w:ascii="Arial" w:hAnsi="Arial" w:cs="Arial"/>
          </w:rPr>
          <w:t>9</w:t>
        </w:r>
        <w:r w:rsidRPr="000A587C">
          <w:rPr>
            <w:rStyle w:val="Hipercze"/>
            <w:rFonts w:ascii="Arial" w:hAnsi="Arial" w:cs="Arial"/>
          </w:rPr>
          <w:t>776#13209776</w:t>
        </w:r>
      </w:hyperlink>
      <w:r>
        <w:rPr>
          <w:rFonts w:ascii="Arial" w:hAnsi="Arial" w:cs="Arial"/>
        </w:rPr>
        <w:t xml:space="preserve"> </w:t>
      </w:r>
    </w:p>
    <w:p w14:paraId="3A59A13C" w14:textId="77777777" w:rsidR="00354531" w:rsidRDefault="00354531" w:rsidP="00354531">
      <w:pPr>
        <w:spacing w:after="0" w:line="300" w:lineRule="auto"/>
        <w:jc w:val="both"/>
        <w:rPr>
          <w:rFonts w:ascii="Arial" w:hAnsi="Arial" w:cs="Arial"/>
        </w:rPr>
      </w:pPr>
    </w:p>
    <w:p w14:paraId="48410528" w14:textId="78364415" w:rsidR="00354531" w:rsidRDefault="00354531" w:rsidP="00354531">
      <w:pPr>
        <w:spacing w:after="0" w:line="300" w:lineRule="auto"/>
        <w:jc w:val="both"/>
        <w:rPr>
          <w:rFonts w:ascii="Arial" w:hAnsi="Arial" w:cs="Arial"/>
        </w:rPr>
      </w:pPr>
      <w:r w:rsidRPr="00354531">
        <w:rPr>
          <w:rFonts w:ascii="Arial" w:hAnsi="Arial" w:cs="Arial"/>
        </w:rPr>
        <w:t>Projekt jest obecnie jednocześnie na etapie uzgodnień, konsultacji publicznych i opiniowania.</w:t>
      </w:r>
    </w:p>
    <w:p w14:paraId="176CC566" w14:textId="77777777" w:rsidR="00354531" w:rsidRPr="001A1A77" w:rsidRDefault="00354531" w:rsidP="001A1A77">
      <w:pPr>
        <w:spacing w:after="0" w:line="300" w:lineRule="auto"/>
        <w:jc w:val="both"/>
        <w:rPr>
          <w:rFonts w:ascii="Arial" w:hAnsi="Arial" w:cs="Arial"/>
        </w:rPr>
      </w:pPr>
    </w:p>
    <w:p w14:paraId="51A54C99" w14:textId="0AB821AE" w:rsidR="001A1A77" w:rsidRPr="00A96F83" w:rsidRDefault="00A96F83" w:rsidP="00BD54B9">
      <w:pPr>
        <w:pStyle w:val="Akapitzlist"/>
        <w:numPr>
          <w:ilvl w:val="0"/>
          <w:numId w:val="4"/>
        </w:numPr>
        <w:spacing w:after="0" w:line="300" w:lineRule="auto"/>
        <w:jc w:val="both"/>
        <w:rPr>
          <w:rFonts w:ascii="Arial" w:hAnsi="Arial" w:cs="Arial"/>
          <w:b/>
          <w:bCs/>
          <w:u w:val="single"/>
        </w:rPr>
      </w:pPr>
      <w:r w:rsidRPr="00A96F83">
        <w:rPr>
          <w:rFonts w:ascii="Arial" w:hAnsi="Arial" w:cs="Arial"/>
          <w:b/>
          <w:bCs/>
          <w:u w:val="single"/>
        </w:rPr>
        <w:t>P</w:t>
      </w:r>
      <w:r w:rsidRPr="00A96F83">
        <w:rPr>
          <w:rFonts w:ascii="Arial" w:hAnsi="Arial" w:cs="Arial"/>
          <w:b/>
          <w:bCs/>
          <w:u w:val="single"/>
        </w:rPr>
        <w:t>rojekt rozporządzenia Ministra Finansów i Gospodarki w sprawie określenia szczegółowego zakresu danych i informacji zamieszczanych w certyfikacie wykonawcy zamówień publicznych oraz wzoru tego certyfikatu (62).</w:t>
      </w:r>
    </w:p>
    <w:p w14:paraId="18FD9CB8" w14:textId="77777777" w:rsidR="001A1A77" w:rsidRPr="00A96F83" w:rsidRDefault="001A1A77" w:rsidP="00A96F83">
      <w:pPr>
        <w:spacing w:after="0" w:line="300" w:lineRule="auto"/>
        <w:jc w:val="both"/>
        <w:rPr>
          <w:rFonts w:ascii="Arial" w:hAnsi="Arial" w:cs="Arial"/>
        </w:rPr>
      </w:pPr>
    </w:p>
    <w:p w14:paraId="761AE88A" w14:textId="77777777" w:rsidR="00A96F83" w:rsidRPr="00A96F83" w:rsidRDefault="00A96F83" w:rsidP="00A96F83">
      <w:pPr>
        <w:spacing w:after="0" w:line="300" w:lineRule="auto"/>
        <w:jc w:val="both"/>
        <w:rPr>
          <w:rFonts w:ascii="Arial" w:hAnsi="Arial" w:cs="Arial"/>
        </w:rPr>
      </w:pPr>
      <w:r w:rsidRPr="00A96F83">
        <w:rPr>
          <w:rFonts w:ascii="Arial" w:hAnsi="Arial" w:cs="Arial"/>
        </w:rPr>
        <w:t>Celem projektowanego rozporządzenia jest wykonanie upoważnienia ustawowego zawartego w art. 24 ust. 5 ustawy z dnia 5 sierpnia 2025 r. o certyfikacji wykonawców zamówień publicznych (Dz. U. poz. 1235 oraz z 2026 r. poz. 421).</w:t>
      </w:r>
    </w:p>
    <w:p w14:paraId="0157FA4F"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Zgodnie z upoważnieniem minister właściwy do spraw gospodarki określi, w drodze rozporządzenia, szczegółowe dane i informacje zawarte w certyfikacie wykonawcy zamówień publicznych oraz wzór tego certyfikatu, uwzględniając konieczność zapewnienia kompletności i jednolitości informacji i danych zawartych w certyfikacie. </w:t>
      </w:r>
    </w:p>
    <w:p w14:paraId="272A6C10" w14:textId="77777777" w:rsidR="00A96F83" w:rsidRPr="00A96F83" w:rsidRDefault="00A96F83" w:rsidP="00A96F83">
      <w:pPr>
        <w:spacing w:after="0" w:line="300" w:lineRule="auto"/>
        <w:jc w:val="both"/>
        <w:rPr>
          <w:rFonts w:ascii="Arial" w:hAnsi="Arial" w:cs="Arial"/>
        </w:rPr>
      </w:pPr>
      <w:r w:rsidRPr="00A96F83">
        <w:rPr>
          <w:rFonts w:ascii="Arial" w:hAnsi="Arial" w:cs="Arial"/>
        </w:rPr>
        <w:t>Zgodnie rozporządzeniem certyfikat będzie zawierał dane i informacje dotyczące zakresu udzielonej certyfikacji niepodlegania wykluczeniu, o której mowa w art. 4 ust. 1 ww. ustawy. Oznacza to, że podmiot certyfikujący będzie miał obowiązek wskazać w certyfikacie wszystkie podstawy wykluczenia, które zostały zweryfikowane w toku procedury certyfikacji, w wyniku czego potwierdzono, że nie zachodzą one wobec wykonawcy ubiegającego się o certyfikację.</w:t>
      </w:r>
    </w:p>
    <w:p w14:paraId="2180609B" w14:textId="77777777" w:rsidR="00A96F83" w:rsidRPr="00A96F83" w:rsidRDefault="00A96F83" w:rsidP="00A96F83">
      <w:pPr>
        <w:spacing w:after="0" w:line="300" w:lineRule="auto"/>
        <w:jc w:val="both"/>
        <w:rPr>
          <w:rFonts w:ascii="Arial" w:hAnsi="Arial" w:cs="Arial"/>
        </w:rPr>
      </w:pPr>
      <w:r w:rsidRPr="00A96F83">
        <w:rPr>
          <w:rFonts w:ascii="Arial" w:hAnsi="Arial" w:cs="Arial"/>
        </w:rPr>
        <w:t>W związku z tym, że elementem certyfikacji niepodlegania wykluczeniu będzie mogło być tzw. samooczyszczenie, certyfikat musi zawierać stosowne informacje w tym zakresie. Jeżeli procedura certyfikacji będzie obejmowała tzw. samooczyszczenie wówczas podmiot certyfikujący zamieści w certyfikacie informacje na temat działań, zgodnych z art. 22 ust. 1 ww. ustawy, które wykonawca podjął w celu naprawienia szkody wyrządzonej przestępstwem, wykroczeniem lub swoim nieprawidłowym postępowaniem, oraz wyjaśnienia związanych z nimi faktów i okoliczności oraz spowodowanych szkód, a także podjętych środków technicznych, organizacyjnych i kadrowych, mających na celu zapobieganie dalszym przestępstwom, wykroczeniom lub nieprawidłowemu postępowaniu, w zakresie w jakim certyfikacja obejmuje podstawy wykluczenia wymagające podjęcia takich działań. Zamieszczenie w certyfikacie powyższych informacji ma na celu wzmocnienie gwarancji, że wykonawca przekaże podmiotowi certyfikującemu wszystkie niezbędne informacje. Będzie on bowiem musiał mieć na uwadze, że informacje wynikające z certyfikatu będą mogły podlegać weryfikacji np. przez innych uczestników postępowania o udzielenie zamówienia publicznego.</w:t>
      </w:r>
    </w:p>
    <w:p w14:paraId="5506E187" w14:textId="77777777" w:rsidR="00A96F83" w:rsidRPr="00A96F83" w:rsidRDefault="00A96F83" w:rsidP="00A96F83">
      <w:pPr>
        <w:spacing w:after="0" w:line="300" w:lineRule="auto"/>
        <w:jc w:val="both"/>
        <w:rPr>
          <w:rFonts w:ascii="Arial" w:hAnsi="Arial" w:cs="Arial"/>
        </w:rPr>
      </w:pPr>
      <w:r w:rsidRPr="00A96F83">
        <w:rPr>
          <w:rFonts w:ascii="Arial" w:hAnsi="Arial" w:cs="Arial"/>
        </w:rPr>
        <w:lastRenderedPageBreak/>
        <w:t xml:space="preserve">W certyfikacie będą zamieszczone również informacje dotyczące zakresu certyfikacji zdolności wykonawcy, o której mowa w art. 5 ust. 1 ww. ustawy, w tym m.in. dotyczące wszystkich zdolności wykonawcy, których potwierdzenie obejmuje certyfikat, wraz z podaniem poziomów zdolności określonych w przepisach wydanych na podstawie art. 5 ust. 4 lub 5 ww. ustawy. Jeżeli o wydanie certyfikatu wykonawcy ubiegali się wspólnie, wówczas w certyfikacie wskazane zostanie, który z wykonawców udostępnił zasoby i w jakim zakresie ma potwierdzenie poszczególnych zdolności. Ma to na celu zapewnienie możliwości wykonania w toku postępowania o udzielenie zamówienia przepisów art. 117 ustawy z dnia 11 września 2019 r. – Prawo zamówień publicznych (Dz. U. z 2026 r. poz. 793). </w:t>
      </w:r>
    </w:p>
    <w:p w14:paraId="0406D79E"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W certyfikacie zamieszczane będą również dane dotyczące podmiotowych środków dowodowych, które stanowiły podstawę wydania certyfikatu. Stanowi to wykonanie normy art. 64 ust. 3 dyrektywy Parlamentu Europejskiego i Rady 2014/24/UE z dnia 26 lutego 2014 r. w sprawie zamówień publicznych, uchylająca dyrektywę 2004/18/WE (Dz. Urz. UE L 94 z 28.03.2014, str. 65, z </w:t>
      </w:r>
      <w:proofErr w:type="spellStart"/>
      <w:r w:rsidRPr="00A96F83">
        <w:rPr>
          <w:rFonts w:ascii="Arial" w:hAnsi="Arial" w:cs="Arial"/>
        </w:rPr>
        <w:t>późn</w:t>
      </w:r>
      <w:proofErr w:type="spellEnd"/>
      <w:r w:rsidRPr="00A96F83">
        <w:rPr>
          <w:rFonts w:ascii="Arial" w:hAnsi="Arial" w:cs="Arial"/>
        </w:rPr>
        <w:t xml:space="preserve">. zm.). </w:t>
      </w:r>
    </w:p>
    <w:p w14:paraId="158A82D8" w14:textId="77777777" w:rsidR="00A96F83" w:rsidRPr="00A96F83" w:rsidRDefault="00A96F83" w:rsidP="00A96F83">
      <w:pPr>
        <w:spacing w:after="0" w:line="300" w:lineRule="auto"/>
        <w:jc w:val="both"/>
        <w:rPr>
          <w:rFonts w:ascii="Arial" w:hAnsi="Arial" w:cs="Arial"/>
        </w:rPr>
      </w:pPr>
      <w:r w:rsidRPr="00A96F83">
        <w:rPr>
          <w:rFonts w:ascii="Arial" w:hAnsi="Arial" w:cs="Arial"/>
        </w:rPr>
        <w:t>Rozporządzenie przewiduje, że wzór certyfikatu wykonawców zamówień publicznych stanowi załącznik do rozporządzenia oraz zostanie opracowany w postaci tabelarycznej. Przyjęcie takiej formy ma na celu zapewnienie większej przejrzystości, czytelności oraz jednolitości danych i informacji zawartych w certyfikacie.</w:t>
      </w:r>
    </w:p>
    <w:p w14:paraId="7DCA6604" w14:textId="77777777" w:rsidR="00A96F83" w:rsidRPr="00A96F83" w:rsidRDefault="00A96F83" w:rsidP="00A96F83">
      <w:pPr>
        <w:spacing w:after="0" w:line="300" w:lineRule="auto"/>
        <w:jc w:val="both"/>
        <w:rPr>
          <w:rFonts w:ascii="Arial" w:hAnsi="Arial" w:cs="Arial"/>
        </w:rPr>
      </w:pPr>
      <w:r w:rsidRPr="00A96F83">
        <w:rPr>
          <w:rFonts w:ascii="Arial" w:hAnsi="Arial" w:cs="Arial"/>
        </w:rPr>
        <w:t>Układ tabelaryczny umożliwia uporządkowane i jednoznaczne przedstawienie informacji dotyczących wykonawcy, co ułatwi zarówno sporządzanie dokumentu przez podmioty certyfikujące, jak i jego weryfikację przez zamawiających w postępowaniach o udzielenie zamówienia publicznego.</w:t>
      </w:r>
    </w:p>
    <w:p w14:paraId="640FE0E9" w14:textId="58B8A794" w:rsidR="00A96F83" w:rsidRPr="00A96F83" w:rsidRDefault="00A96F83" w:rsidP="00A96F83">
      <w:pPr>
        <w:spacing w:after="0" w:line="300" w:lineRule="auto"/>
        <w:jc w:val="both"/>
        <w:rPr>
          <w:rFonts w:ascii="Arial" w:hAnsi="Arial" w:cs="Arial"/>
        </w:rPr>
      </w:pPr>
      <w:r w:rsidRPr="00A96F83">
        <w:rPr>
          <w:rFonts w:ascii="Arial" w:hAnsi="Arial" w:cs="Arial"/>
        </w:rPr>
        <w:t>Zgodnie z projektowanym § 2, rozporządzenie ma wejść w życie z dniem 12 lipca 2026 roku.</w:t>
      </w:r>
    </w:p>
    <w:p w14:paraId="7F22CFC7" w14:textId="77777777" w:rsidR="00A96F83" w:rsidRDefault="00A96F83" w:rsidP="001A1A77">
      <w:pPr>
        <w:spacing w:after="0" w:line="300" w:lineRule="auto"/>
        <w:jc w:val="both"/>
        <w:rPr>
          <w:rFonts w:ascii="Arial" w:hAnsi="Arial" w:cs="Arial"/>
        </w:rPr>
      </w:pPr>
    </w:p>
    <w:p w14:paraId="0897D5DC" w14:textId="77777777" w:rsidR="00A96F83" w:rsidRPr="00A96F83" w:rsidRDefault="00A96F83" w:rsidP="00A96F83">
      <w:pPr>
        <w:spacing w:after="0" w:line="300" w:lineRule="auto"/>
        <w:jc w:val="both"/>
        <w:rPr>
          <w:rFonts w:ascii="Arial" w:hAnsi="Arial" w:cs="Arial"/>
        </w:rPr>
      </w:pPr>
      <w:r w:rsidRPr="00A96F83">
        <w:rPr>
          <w:rFonts w:ascii="Arial" w:hAnsi="Arial" w:cs="Arial"/>
        </w:rPr>
        <w:t>Przedmiotowy projekt aktu prawnego wraz z Załącznikiem, Uzasadnieniem oraz Oceną Skutków Regulacji dostępny jest na stronach Rządowego Centrum Legislacji pod adresem:</w:t>
      </w:r>
    </w:p>
    <w:p w14:paraId="064E4733" w14:textId="7664ADD6" w:rsidR="00A96F83" w:rsidRDefault="00A96F83" w:rsidP="00A96F83">
      <w:pPr>
        <w:spacing w:after="0" w:line="300" w:lineRule="auto"/>
        <w:jc w:val="both"/>
        <w:rPr>
          <w:rFonts w:ascii="Arial" w:hAnsi="Arial" w:cs="Arial"/>
        </w:rPr>
      </w:pPr>
      <w:hyperlink r:id="rId10" w:history="1">
        <w:r w:rsidRPr="000A587C">
          <w:rPr>
            <w:rStyle w:val="Hipercze"/>
            <w:rFonts w:ascii="Arial" w:hAnsi="Arial" w:cs="Arial"/>
          </w:rPr>
          <w:t>https://legislacja.rcl.gov.pl/projekt/12411554/k</w:t>
        </w:r>
        <w:r w:rsidRPr="000A587C">
          <w:rPr>
            <w:rStyle w:val="Hipercze"/>
            <w:rFonts w:ascii="Arial" w:hAnsi="Arial" w:cs="Arial"/>
          </w:rPr>
          <w:t>a</w:t>
        </w:r>
        <w:r w:rsidRPr="000A587C">
          <w:rPr>
            <w:rStyle w:val="Hipercze"/>
            <w:rFonts w:ascii="Arial" w:hAnsi="Arial" w:cs="Arial"/>
          </w:rPr>
          <w:t>talog/13210495#13210495</w:t>
        </w:r>
      </w:hyperlink>
      <w:r>
        <w:rPr>
          <w:rFonts w:ascii="Arial" w:hAnsi="Arial" w:cs="Arial"/>
        </w:rPr>
        <w:t xml:space="preserve"> </w:t>
      </w:r>
    </w:p>
    <w:p w14:paraId="2FAF5331" w14:textId="77777777" w:rsidR="00A96F83" w:rsidRDefault="00A96F83" w:rsidP="00A96F83">
      <w:pPr>
        <w:spacing w:after="0" w:line="300" w:lineRule="auto"/>
        <w:jc w:val="both"/>
        <w:rPr>
          <w:rFonts w:ascii="Arial" w:hAnsi="Arial" w:cs="Arial"/>
        </w:rPr>
      </w:pPr>
    </w:p>
    <w:p w14:paraId="2E86E1D8" w14:textId="450CE375" w:rsidR="00A96F83" w:rsidRDefault="00A96F83" w:rsidP="001A1A77">
      <w:pPr>
        <w:spacing w:after="0" w:line="300" w:lineRule="auto"/>
        <w:jc w:val="both"/>
        <w:rPr>
          <w:rFonts w:ascii="Arial" w:hAnsi="Arial" w:cs="Arial"/>
        </w:rPr>
      </w:pPr>
      <w:r w:rsidRPr="00A96F83">
        <w:rPr>
          <w:rFonts w:ascii="Arial" w:hAnsi="Arial" w:cs="Arial"/>
        </w:rPr>
        <w:t>Projekt jest obecnie jednocześnie na etapie uzgodnień, konsultacji publicznych i opiniowania.</w:t>
      </w:r>
    </w:p>
    <w:p w14:paraId="2C07A74E" w14:textId="77777777" w:rsidR="00A96F83" w:rsidRPr="001A1A77" w:rsidRDefault="00A96F83" w:rsidP="001A1A77">
      <w:pPr>
        <w:spacing w:after="0" w:line="300" w:lineRule="auto"/>
        <w:jc w:val="both"/>
        <w:rPr>
          <w:rFonts w:ascii="Arial" w:hAnsi="Arial" w:cs="Arial"/>
        </w:rPr>
      </w:pPr>
    </w:p>
    <w:p w14:paraId="1FCFC94B" w14:textId="22835C8A" w:rsidR="001A1A77" w:rsidRPr="00A96F83" w:rsidRDefault="00A96F83" w:rsidP="00BD54B9">
      <w:pPr>
        <w:pStyle w:val="Akapitzlist"/>
        <w:numPr>
          <w:ilvl w:val="0"/>
          <w:numId w:val="4"/>
        </w:numPr>
        <w:spacing w:after="0" w:line="300" w:lineRule="auto"/>
        <w:jc w:val="both"/>
        <w:rPr>
          <w:rFonts w:ascii="Arial" w:hAnsi="Arial" w:cs="Arial"/>
          <w:b/>
          <w:bCs/>
          <w:u w:val="single"/>
        </w:rPr>
      </w:pPr>
      <w:r w:rsidRPr="00A96F83">
        <w:rPr>
          <w:rFonts w:ascii="Arial" w:hAnsi="Arial" w:cs="Arial"/>
          <w:b/>
          <w:bCs/>
          <w:u w:val="single"/>
        </w:rPr>
        <w:t>P</w:t>
      </w:r>
      <w:r w:rsidRPr="00A96F83">
        <w:rPr>
          <w:rFonts w:ascii="Arial" w:hAnsi="Arial" w:cs="Arial"/>
          <w:b/>
          <w:bCs/>
          <w:u w:val="single"/>
        </w:rPr>
        <w:t>rojekt rozporządzenia Ministra Finansów i Gospodarki w sprawie sposobu przesyłania informacji o schemacie podatkowym za pomocą środków komunikacji elektronicznej (72/2026).</w:t>
      </w:r>
    </w:p>
    <w:p w14:paraId="5DE6F39F" w14:textId="77777777" w:rsidR="001A1A77" w:rsidRDefault="001A1A77" w:rsidP="001A1A77">
      <w:pPr>
        <w:spacing w:after="0" w:line="300" w:lineRule="auto"/>
        <w:jc w:val="both"/>
        <w:rPr>
          <w:rFonts w:ascii="Arial" w:hAnsi="Arial" w:cs="Arial"/>
        </w:rPr>
      </w:pPr>
    </w:p>
    <w:p w14:paraId="52A8B66D" w14:textId="77777777" w:rsidR="00A96F83" w:rsidRPr="00A96F83" w:rsidRDefault="00A96F83" w:rsidP="00A96F83">
      <w:pPr>
        <w:spacing w:after="0" w:line="300" w:lineRule="auto"/>
        <w:jc w:val="both"/>
        <w:rPr>
          <w:rFonts w:ascii="Arial" w:hAnsi="Arial" w:cs="Arial"/>
        </w:rPr>
      </w:pPr>
      <w:r w:rsidRPr="00A96F83">
        <w:rPr>
          <w:rFonts w:ascii="Arial" w:hAnsi="Arial" w:cs="Arial"/>
        </w:rPr>
        <w:t>Zgodnie z art. 32 ust. 1 ustawy z dnia 29 maja 2026 r. o zmianie ustawy – Ordynacja podatkowa oraz niektórych innych ustaw (Dz. U. poz. …) dotychczasowe przepisy wykonawcze wydane na podstawie zmienianego art. 86n § 3 ustawy z dnia 29 sierpnia 1997 r. – Ordynacja podatkowa (Dz. U. z 2026 r. poz. 622 – dalej jako „Ordynacja podatkowa”) tracą moc. Tym samym traci moc rozporządzenie Ministra Finansów z dnia 28 grudnia 2018 r. w sprawie sposobu przesyłania informacji o schemacie podatkowym za pomocą środków komunikacji elektronicznej (Dz. U. poz. 2534).</w:t>
      </w:r>
    </w:p>
    <w:p w14:paraId="2D6B5C20"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Zgodnie z nowym brzmieniem art. 86n § 3 Ordynacji podatkowej minister właściwy do spraw finansów publicznych określi, w drodze rozporządzenia, sposób przesyłania informacji, o których mowa art. 86b § 1, art. 86c § 1 i 2, art. 86f § 4 oraz art. 86j § 1, za pomocą środków </w:t>
      </w:r>
      <w:r w:rsidRPr="00A96F83">
        <w:rPr>
          <w:rFonts w:ascii="Arial" w:hAnsi="Arial" w:cs="Arial"/>
        </w:rPr>
        <w:lastRenderedPageBreak/>
        <w:t xml:space="preserve">komunikacji elektronicznej, mając na uwadze usprawnienie wypełniania, przekazywania i przetwarzania tych informacji, oraz uwzględniając potrzebę zapewnienia bezpieczeństwa, wiarygodności i niezaprzeczalności danych w nich zawartych, oraz ich ochrony przed nieuprawnionym dostępem. Przepis ten obliguje ministra właściwego do spraw finansów publicznych do określenia sposobu przesyłania informacji wskazanych w dziale III rozdziale 11a  Ordynacji podatkowej (informacje o schematach podatkowych). </w:t>
      </w:r>
    </w:p>
    <w:p w14:paraId="0AB9FA04"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Zgodnie z art. 86n § 1 i 2 Ordynacji podatkowej, informacje, o których mowa w art. 86b § 1, art. 86c § 1 i 2, art. 86f § 4 oraz art. 86j § 1, będą przesyłane za pomocą środków komunikacji elektronicznej w postaci elektronicznej odpowiadającej strukturze logicznej. Struktura logiczna postaci elektronicznej tych informacji będzie dostępna w Biuletynie Informacji Publicznej na stronie podmiotowej urzędu obsługującego ministra właściwego do spraw finansów publicznych. </w:t>
      </w:r>
    </w:p>
    <w:p w14:paraId="1BB91C62"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Wykonując przepisy Ordynacji podatkowej, projekt niniejszego rozporządzenia przewiduje, że informacje powinny być przesyłane za pomocą oprogramowania interfejsowego dostępnego na stronie, której adres jest podany w Biuletynie Informacji Publicznej na stronie podmiotowej urzędu obsługującego ministra właściwego do spraw finansów publicznych (§ 2 ust. 1 projektu). </w:t>
      </w:r>
    </w:p>
    <w:p w14:paraId="2782A688"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Projekt rozporządzenia, dla zapewnienia prawidłowego przesyłania informacji o schematach podatkowych, określa również poszczególne rodzaje podpisów elektronicznych, którymi powinny być opatrywane przekazywane informacje o schematach podatkowych. Sposób podpisywania informacji, przesyłanych wyłącznie drogą elektroniczną do Szefa KAS, bez wątpienia jest integralną częścią całego procesu, tj. sposobu przesyłania tych informacji. </w:t>
      </w:r>
    </w:p>
    <w:p w14:paraId="5A3B7B75" w14:textId="77777777" w:rsidR="00A96F83" w:rsidRPr="00A96F83" w:rsidRDefault="00A96F83" w:rsidP="00A96F83">
      <w:pPr>
        <w:spacing w:after="0" w:line="300" w:lineRule="auto"/>
        <w:jc w:val="both"/>
        <w:rPr>
          <w:rFonts w:ascii="Arial" w:hAnsi="Arial" w:cs="Arial"/>
        </w:rPr>
      </w:pPr>
      <w:r w:rsidRPr="00A96F83">
        <w:rPr>
          <w:rFonts w:ascii="Arial" w:hAnsi="Arial" w:cs="Arial"/>
        </w:rPr>
        <w:t xml:space="preserve">Informacje przesyłane w przedstawiony powyżej sposób powinny być opatrzone kwalifikowanym podpisem elektronicznym w rozumieniu art. 3 pkt 12 rozporządzenia Parlamentu Europejskiego i Rady (UE) nr 910/2014 z dnia 23 lipca 2014 r. w sprawie identyfikacji elektronicznej i usług zaufania w odniesieniu do transakcji elektronicznych na rynku wewnętrznym oraz uchylającego dyrektywę 1999/93/WE (Dz. Urz. UE L 257 z 28.08.2014 r., str. 73) albo podpisem zaufanym (§ 2 ust. 2 projektu). </w:t>
      </w:r>
    </w:p>
    <w:p w14:paraId="36FC1F5B" w14:textId="77777777" w:rsidR="00A96F83" w:rsidRPr="00A96F83" w:rsidRDefault="00A96F83" w:rsidP="00A96F83">
      <w:pPr>
        <w:spacing w:after="0" w:line="300" w:lineRule="auto"/>
        <w:jc w:val="both"/>
        <w:rPr>
          <w:rFonts w:ascii="Arial" w:hAnsi="Arial" w:cs="Arial"/>
        </w:rPr>
      </w:pPr>
      <w:r w:rsidRPr="00A96F83">
        <w:rPr>
          <w:rFonts w:ascii="Arial" w:hAnsi="Arial" w:cs="Arial"/>
        </w:rPr>
        <w:t>Dowodem złożenia informacji regulowanych tym rozporządzeniem będzie urzędowe poświadczenie odbioru wytworzone i udostępnione nadawcy przez system teleinformatyczny Szefa Krajowej Administracji Skarbowej po uprzednim przeprowadzeniu prawidłowej weryfikacji struktury logicznej, poprawności danych i podpisu elektronicznego (§ 2 ust. 3 projektu).</w:t>
      </w:r>
    </w:p>
    <w:p w14:paraId="23C7DF30" w14:textId="014BB676" w:rsidR="00A96F83" w:rsidRDefault="00A96F83" w:rsidP="00A96F83">
      <w:pPr>
        <w:spacing w:after="0" w:line="300" w:lineRule="auto"/>
        <w:jc w:val="both"/>
        <w:rPr>
          <w:rFonts w:ascii="Arial" w:hAnsi="Arial" w:cs="Arial"/>
        </w:rPr>
      </w:pPr>
      <w:r w:rsidRPr="00A96F83">
        <w:rPr>
          <w:rFonts w:ascii="Arial" w:hAnsi="Arial" w:cs="Arial"/>
        </w:rPr>
        <w:t>Struktura logiczna urzędowego poświadczenia odbioru informacji jest udostępniona w Biuletynie Informacji Publicznej na stronie podmiotowej urzędu obsługującego ministra właściwego do spraw finansów publicznych (§ 2 ust. 4 projektu).</w:t>
      </w:r>
    </w:p>
    <w:p w14:paraId="2AECE83D" w14:textId="77777777" w:rsidR="00A96F83" w:rsidRDefault="00A96F83" w:rsidP="00A96F83">
      <w:pPr>
        <w:spacing w:after="0" w:line="300" w:lineRule="auto"/>
        <w:jc w:val="both"/>
        <w:rPr>
          <w:rFonts w:ascii="Arial" w:hAnsi="Arial" w:cs="Arial"/>
        </w:rPr>
      </w:pPr>
    </w:p>
    <w:p w14:paraId="1874F5F2" w14:textId="77777777" w:rsidR="00A96F83" w:rsidRPr="00A96F83" w:rsidRDefault="00A96F83" w:rsidP="00A96F83">
      <w:pPr>
        <w:spacing w:after="0" w:line="300" w:lineRule="auto"/>
        <w:jc w:val="both"/>
        <w:rPr>
          <w:rFonts w:ascii="Arial" w:hAnsi="Arial" w:cs="Arial"/>
        </w:rPr>
      </w:pPr>
      <w:r w:rsidRPr="00A96F83">
        <w:rPr>
          <w:rFonts w:ascii="Arial" w:hAnsi="Arial" w:cs="Arial"/>
        </w:rPr>
        <w:t>Przedmiotowy projekt aktu prawnego wraz z Uzasadnieniem oraz Oceną Skutków Regulacji dostępny jest na stronach Rządowego Centrum Legislacji pod adresem:</w:t>
      </w:r>
    </w:p>
    <w:p w14:paraId="67AF4F30" w14:textId="61370B60" w:rsidR="00A96F83" w:rsidRDefault="00A96F83" w:rsidP="00A96F83">
      <w:pPr>
        <w:spacing w:after="0" w:line="300" w:lineRule="auto"/>
        <w:jc w:val="both"/>
        <w:rPr>
          <w:rFonts w:ascii="Arial" w:hAnsi="Arial" w:cs="Arial"/>
        </w:rPr>
      </w:pPr>
      <w:hyperlink r:id="rId11" w:history="1">
        <w:r w:rsidRPr="000A587C">
          <w:rPr>
            <w:rStyle w:val="Hipercze"/>
            <w:rFonts w:ascii="Arial" w:hAnsi="Arial" w:cs="Arial"/>
          </w:rPr>
          <w:t>https://legislacja.rcl.gov.pl/projekt/12411859/k</w:t>
        </w:r>
        <w:r w:rsidRPr="000A587C">
          <w:rPr>
            <w:rStyle w:val="Hipercze"/>
            <w:rFonts w:ascii="Arial" w:hAnsi="Arial" w:cs="Arial"/>
          </w:rPr>
          <w:t>a</w:t>
        </w:r>
        <w:r w:rsidRPr="000A587C">
          <w:rPr>
            <w:rStyle w:val="Hipercze"/>
            <w:rFonts w:ascii="Arial" w:hAnsi="Arial" w:cs="Arial"/>
          </w:rPr>
          <w:t>talog/13212010#13212010</w:t>
        </w:r>
      </w:hyperlink>
      <w:r>
        <w:rPr>
          <w:rFonts w:ascii="Arial" w:hAnsi="Arial" w:cs="Arial"/>
        </w:rPr>
        <w:t xml:space="preserve"> </w:t>
      </w:r>
    </w:p>
    <w:p w14:paraId="5ACF9D04" w14:textId="77777777" w:rsidR="00A96F83" w:rsidRDefault="00A96F83" w:rsidP="00A96F83">
      <w:pPr>
        <w:spacing w:after="0" w:line="300" w:lineRule="auto"/>
        <w:jc w:val="both"/>
        <w:rPr>
          <w:rFonts w:ascii="Arial" w:hAnsi="Arial" w:cs="Arial"/>
        </w:rPr>
      </w:pPr>
    </w:p>
    <w:p w14:paraId="2864D37A" w14:textId="36E1C7E7" w:rsidR="00A96F83" w:rsidRDefault="00A96F83" w:rsidP="00A96F83">
      <w:pPr>
        <w:spacing w:after="0" w:line="300" w:lineRule="auto"/>
        <w:jc w:val="both"/>
        <w:rPr>
          <w:rFonts w:ascii="Arial" w:hAnsi="Arial" w:cs="Arial"/>
        </w:rPr>
      </w:pPr>
      <w:r w:rsidRPr="00A96F83">
        <w:rPr>
          <w:rFonts w:ascii="Arial" w:hAnsi="Arial" w:cs="Arial"/>
        </w:rPr>
        <w:t>Projekt jest obecnie jednocześnie na etapie uzgodnień, konsultacji publicznych i opiniowania.</w:t>
      </w:r>
    </w:p>
    <w:p w14:paraId="72F192B4" w14:textId="77777777" w:rsidR="00A96F83" w:rsidRPr="001A1A77" w:rsidRDefault="00A96F83" w:rsidP="001A1A77">
      <w:pPr>
        <w:spacing w:after="0" w:line="300" w:lineRule="auto"/>
        <w:jc w:val="both"/>
        <w:rPr>
          <w:rFonts w:ascii="Arial" w:hAnsi="Arial" w:cs="Arial"/>
        </w:rPr>
      </w:pPr>
    </w:p>
    <w:p w14:paraId="71C55598" w14:textId="0EF64B86" w:rsidR="00BD54B9" w:rsidRPr="00517A01" w:rsidRDefault="00517A01" w:rsidP="00BD54B9">
      <w:pPr>
        <w:pStyle w:val="Akapitzlist"/>
        <w:numPr>
          <w:ilvl w:val="0"/>
          <w:numId w:val="4"/>
        </w:numPr>
        <w:spacing w:after="0" w:line="300" w:lineRule="auto"/>
        <w:jc w:val="both"/>
        <w:rPr>
          <w:rFonts w:ascii="Arial" w:hAnsi="Arial" w:cs="Arial"/>
          <w:b/>
          <w:bCs/>
          <w:u w:val="single"/>
        </w:rPr>
      </w:pPr>
      <w:r w:rsidRPr="00517A01">
        <w:rPr>
          <w:rFonts w:ascii="Arial" w:hAnsi="Arial" w:cs="Arial"/>
          <w:b/>
          <w:bCs/>
          <w:u w:val="single"/>
        </w:rPr>
        <w:lastRenderedPageBreak/>
        <w:t>P</w:t>
      </w:r>
      <w:r w:rsidRPr="00517A01">
        <w:rPr>
          <w:rFonts w:ascii="Arial" w:hAnsi="Arial" w:cs="Arial"/>
          <w:b/>
          <w:bCs/>
          <w:u w:val="single"/>
        </w:rPr>
        <w:t>rojekt rozporządzenia Ministra Sprawiedliwości zmieniającego rozporządzenie w sprawie szczegółowego sposobu prowadzenia rejestrów wchodzących w skład Krajowego Rejestru Sądowego oraz szczegółowej treści wpisów w tych rejestrach (B965).</w:t>
      </w:r>
    </w:p>
    <w:p w14:paraId="3A71982A" w14:textId="77777777" w:rsidR="00BD54B9" w:rsidRDefault="00BD54B9" w:rsidP="00BD54B9">
      <w:pPr>
        <w:spacing w:after="0" w:line="300" w:lineRule="auto"/>
        <w:jc w:val="both"/>
        <w:rPr>
          <w:rFonts w:ascii="Arial" w:hAnsi="Arial" w:cs="Arial"/>
        </w:rPr>
      </w:pPr>
    </w:p>
    <w:p w14:paraId="2E86F0ED" w14:textId="77777777" w:rsidR="00517A01" w:rsidRPr="00517A01" w:rsidRDefault="00517A01" w:rsidP="00517A01">
      <w:pPr>
        <w:spacing w:after="0" w:line="300" w:lineRule="auto"/>
        <w:jc w:val="both"/>
        <w:rPr>
          <w:rFonts w:ascii="Arial" w:hAnsi="Arial" w:cs="Arial"/>
        </w:rPr>
      </w:pPr>
      <w:r w:rsidRPr="00517A01">
        <w:rPr>
          <w:rFonts w:ascii="Arial" w:hAnsi="Arial" w:cs="Arial"/>
        </w:rPr>
        <w:t xml:space="preserve">Rozporządzenie przygotowane zostało na podstawie upoważnienia zawartego w art. 35a ustawy z dnia 20 sierpnia 1997 r. o Krajowym Rejestrze Sądowym (Dz. U. z 2025 r. poz. 869, z </w:t>
      </w:r>
      <w:proofErr w:type="spellStart"/>
      <w:r w:rsidRPr="00517A01">
        <w:rPr>
          <w:rFonts w:ascii="Arial" w:hAnsi="Arial" w:cs="Arial"/>
        </w:rPr>
        <w:t>późn</w:t>
      </w:r>
      <w:proofErr w:type="spellEnd"/>
      <w:r w:rsidRPr="00517A01">
        <w:rPr>
          <w:rFonts w:ascii="Arial" w:hAnsi="Arial" w:cs="Arial"/>
        </w:rPr>
        <w:t xml:space="preserve">. zm.), zgodnie z którym „Minister Sprawiedliwości określi, w drodze rozporządzenia, szczegółowy sposób prowadzenia rejestru przedsiębiorców, rejestru stowarzyszeń, innych organizacji społecznych i zawodowych, fundacji oraz samodzielnych publicznych zakładów opieki zdrowotnej, rejestru dłużników niewypłacalnych oraz szczegółową treść wpisów w tych rejestrach, uwzględniając konieczność zapewnienia kompletności danych zawartych w rejestrach i potrzebę zapewnienia ich przejrzystości.”. </w:t>
      </w:r>
    </w:p>
    <w:p w14:paraId="09D58061" w14:textId="77777777" w:rsidR="00517A01" w:rsidRPr="00517A01" w:rsidRDefault="00517A01" w:rsidP="00517A01">
      <w:pPr>
        <w:spacing w:after="0" w:line="300" w:lineRule="auto"/>
        <w:jc w:val="both"/>
        <w:rPr>
          <w:rFonts w:ascii="Arial" w:hAnsi="Arial" w:cs="Arial"/>
        </w:rPr>
      </w:pPr>
      <w:r w:rsidRPr="00517A01">
        <w:rPr>
          <w:rFonts w:ascii="Arial" w:hAnsi="Arial" w:cs="Arial"/>
        </w:rPr>
        <w:t xml:space="preserve">Projektowana zmiana rozporządzenia Ministra Sprawiedliwości z dnia 17 listopada 2014 r. w sprawie szczegółowego sposobu prowadzenia rejestrów wchodzących w skład Krajowego Rejestru Sądowego oraz szczegółowej treści wpisów w tych rejestrach (Dz. U. z 2026 r. poz. 649) wynika z konieczności dostosowania jego treści do zmian wprowadzonych ustawą z dnia 23 stycznia 2026 r. o zmianie ustawy – Kodeks spółek handlowych oraz niektórych innych ustaw (Dz. U. poz. 176), a konkretnie przez art. 5 tej ustawy, który wprowadził zmiany w ustawie z dnia 20 sierpnia 1997 r. o Krajowym Rejestrze Sądowym, przewidujące ujawnianie w Krajowym Rejestrze Sądowym informacji o podmiocie prowadzącym rejestr akcjonariuszy albo rejestrującym akcje w depozycie papierów wartościowych spółek akcyjnych, prostych spółek akcyjnych, spółek komandytowo – akcyjnych, spółek europejskich. </w:t>
      </w:r>
    </w:p>
    <w:p w14:paraId="5EAAB944" w14:textId="77777777" w:rsidR="00517A01" w:rsidRPr="00517A01" w:rsidRDefault="00517A01" w:rsidP="00517A01">
      <w:pPr>
        <w:spacing w:after="0" w:line="300" w:lineRule="auto"/>
        <w:jc w:val="both"/>
        <w:rPr>
          <w:rFonts w:ascii="Arial" w:hAnsi="Arial" w:cs="Arial"/>
        </w:rPr>
      </w:pPr>
      <w:r w:rsidRPr="00517A01">
        <w:rPr>
          <w:rFonts w:ascii="Arial" w:hAnsi="Arial" w:cs="Arial"/>
        </w:rPr>
        <w:t xml:space="preserve">W związku z powyższym dla wykonania tych rozwiązań konieczna jest zmiana ww. rozporządzenia w odniesieniu do wskazanych powyżej podmiotów i zapewnienie skorelowania terminu wejścia w życie rozporządzenia z terminem wejścia w życie ustawy. Projektowane rozporządzenie przewiduje zmianę § 41, § 50, § 61 poprzez wskazanie, że w dziale 1 rejestru przedsiębiorców w odniesieniu do spółek akcyjnych, prostych spółek akcyjnych, spółek komandytowo – akcyjnych, spółek europejskich wpisuje się informacje o podmiocie prowadzącym rejestr akcjonariuszy albo rejestrującym akcje w depozycie papierów wartościowych. Zmiana przepisów nastąpi poprzez dodanie w dziale 1 rejestru przedsiębiorców odpowiednio: </w:t>
      </w:r>
    </w:p>
    <w:p w14:paraId="5692501A" w14:textId="77777777" w:rsidR="00517A01" w:rsidRPr="00517A01" w:rsidRDefault="00517A01" w:rsidP="00517A01">
      <w:pPr>
        <w:spacing w:after="0" w:line="300" w:lineRule="auto"/>
        <w:jc w:val="both"/>
        <w:rPr>
          <w:rFonts w:ascii="Arial" w:hAnsi="Arial" w:cs="Arial"/>
        </w:rPr>
      </w:pPr>
      <w:r w:rsidRPr="00517A01">
        <w:rPr>
          <w:rFonts w:ascii="Arial" w:hAnsi="Arial" w:cs="Arial"/>
        </w:rPr>
        <w:t>- rubryki jedenastej w przypadku spółek komandytowo-akcyjnych;</w:t>
      </w:r>
    </w:p>
    <w:p w14:paraId="4617CC96" w14:textId="77777777" w:rsidR="00517A01" w:rsidRPr="00517A01" w:rsidRDefault="00517A01" w:rsidP="00517A01">
      <w:pPr>
        <w:spacing w:after="0" w:line="300" w:lineRule="auto"/>
        <w:jc w:val="both"/>
        <w:rPr>
          <w:rFonts w:ascii="Arial" w:hAnsi="Arial" w:cs="Arial"/>
        </w:rPr>
      </w:pPr>
      <w:r w:rsidRPr="00517A01">
        <w:rPr>
          <w:rFonts w:ascii="Arial" w:hAnsi="Arial" w:cs="Arial"/>
        </w:rPr>
        <w:t>- rubryki czternastej w przypadku spółek akcyjnych i prostych spółek akcyjnych;</w:t>
      </w:r>
    </w:p>
    <w:p w14:paraId="1A1079DA" w14:textId="77777777" w:rsidR="00517A01" w:rsidRPr="00517A01" w:rsidRDefault="00517A01" w:rsidP="00517A01">
      <w:pPr>
        <w:spacing w:after="0" w:line="300" w:lineRule="auto"/>
        <w:jc w:val="both"/>
        <w:rPr>
          <w:rFonts w:ascii="Arial" w:hAnsi="Arial" w:cs="Arial"/>
        </w:rPr>
      </w:pPr>
      <w:r w:rsidRPr="00517A01">
        <w:rPr>
          <w:rFonts w:ascii="Arial" w:hAnsi="Arial" w:cs="Arial"/>
        </w:rPr>
        <w:t>- rubryki trzynastej w przypadku spółek europejskich.</w:t>
      </w:r>
    </w:p>
    <w:p w14:paraId="051F4E21" w14:textId="77777777" w:rsidR="00517A01" w:rsidRPr="00517A01" w:rsidRDefault="00517A01" w:rsidP="00517A01">
      <w:pPr>
        <w:spacing w:after="0" w:line="300" w:lineRule="auto"/>
        <w:jc w:val="both"/>
        <w:rPr>
          <w:rFonts w:ascii="Arial" w:hAnsi="Arial" w:cs="Arial"/>
        </w:rPr>
      </w:pPr>
      <w:r w:rsidRPr="00517A01">
        <w:rPr>
          <w:rFonts w:ascii="Arial" w:hAnsi="Arial" w:cs="Arial"/>
        </w:rPr>
        <w:t>Proponuje się, że dodane rubryki będą wskazywały następujące oznaczenie ww. podmiotu:</w:t>
      </w:r>
    </w:p>
    <w:p w14:paraId="1D0508BB" w14:textId="77777777" w:rsidR="00517A01" w:rsidRPr="00517A01" w:rsidRDefault="00517A01" w:rsidP="00517A01">
      <w:pPr>
        <w:spacing w:after="0" w:line="300" w:lineRule="auto"/>
        <w:jc w:val="both"/>
        <w:rPr>
          <w:rFonts w:ascii="Arial" w:hAnsi="Arial" w:cs="Arial"/>
        </w:rPr>
      </w:pPr>
      <w:r w:rsidRPr="00517A01">
        <w:rPr>
          <w:rFonts w:ascii="Arial" w:hAnsi="Arial" w:cs="Arial"/>
        </w:rPr>
        <w:t>- w polu pierwszym – nazwisko, nazwę lub firmę;</w:t>
      </w:r>
    </w:p>
    <w:p w14:paraId="652C9F02" w14:textId="77777777" w:rsidR="00517A01" w:rsidRPr="00517A01" w:rsidRDefault="00517A01" w:rsidP="00517A01">
      <w:pPr>
        <w:spacing w:after="0" w:line="300" w:lineRule="auto"/>
        <w:jc w:val="both"/>
        <w:rPr>
          <w:rFonts w:ascii="Arial" w:hAnsi="Arial" w:cs="Arial"/>
        </w:rPr>
      </w:pPr>
      <w:r w:rsidRPr="00517A01">
        <w:rPr>
          <w:rFonts w:ascii="Arial" w:hAnsi="Arial" w:cs="Arial"/>
        </w:rPr>
        <w:t>- w polu drugim – imiona;</w:t>
      </w:r>
    </w:p>
    <w:p w14:paraId="7BDD0EF4" w14:textId="77777777" w:rsidR="00517A01" w:rsidRPr="00517A01" w:rsidRDefault="00517A01" w:rsidP="00517A01">
      <w:pPr>
        <w:spacing w:after="0" w:line="300" w:lineRule="auto"/>
        <w:jc w:val="both"/>
        <w:rPr>
          <w:rFonts w:ascii="Arial" w:hAnsi="Arial" w:cs="Arial"/>
        </w:rPr>
      </w:pPr>
      <w:r w:rsidRPr="00517A01">
        <w:rPr>
          <w:rFonts w:ascii="Arial" w:hAnsi="Arial" w:cs="Arial"/>
        </w:rPr>
        <w:t>- w polu trzecim – numer PESEL lub datę urodzenia lub numer identyfikacyjny REGON;</w:t>
      </w:r>
    </w:p>
    <w:p w14:paraId="6A9390D0" w14:textId="77777777" w:rsidR="00517A01" w:rsidRPr="00517A01" w:rsidRDefault="00517A01" w:rsidP="00517A01">
      <w:pPr>
        <w:spacing w:after="0" w:line="300" w:lineRule="auto"/>
        <w:jc w:val="both"/>
        <w:rPr>
          <w:rFonts w:ascii="Arial" w:hAnsi="Arial" w:cs="Arial"/>
        </w:rPr>
      </w:pPr>
      <w:r w:rsidRPr="00517A01">
        <w:rPr>
          <w:rFonts w:ascii="Arial" w:hAnsi="Arial" w:cs="Arial"/>
        </w:rPr>
        <w:t>- w polu czwartym – numer KRS.</w:t>
      </w:r>
    </w:p>
    <w:p w14:paraId="5B94852C" w14:textId="3A27643D" w:rsidR="00517A01" w:rsidRDefault="00517A01" w:rsidP="00517A01">
      <w:pPr>
        <w:spacing w:after="0" w:line="300" w:lineRule="auto"/>
        <w:jc w:val="both"/>
        <w:rPr>
          <w:rFonts w:ascii="Arial" w:hAnsi="Arial" w:cs="Arial"/>
        </w:rPr>
      </w:pPr>
      <w:r w:rsidRPr="00517A01">
        <w:rPr>
          <w:rFonts w:ascii="Arial" w:hAnsi="Arial" w:cs="Arial"/>
        </w:rPr>
        <w:t>Z przytoczonych względów zachodzi potrzeba zmiany ww. rozporządzenia w celu dostosowania jego przepisów do zmian wprowadzonych w ustawie z dnia 20 sierpnia 1997 r. o Krajowym Rejestrze Sądowym przez art. 5 powołanej na wstępie ustawy z dnia 23 stycznia 2026 r. o zmianie ustawy – Kodeks spółek handlowych oraz niektórych innych ustaw.</w:t>
      </w:r>
    </w:p>
    <w:p w14:paraId="190CF34E" w14:textId="77777777" w:rsidR="00517A01" w:rsidRPr="00517A01" w:rsidRDefault="00517A01" w:rsidP="00517A01">
      <w:pPr>
        <w:spacing w:after="0" w:line="300" w:lineRule="auto"/>
        <w:jc w:val="both"/>
        <w:rPr>
          <w:rFonts w:ascii="Arial" w:hAnsi="Arial" w:cs="Arial"/>
        </w:rPr>
      </w:pPr>
      <w:r w:rsidRPr="00517A01">
        <w:rPr>
          <w:rFonts w:ascii="Arial" w:hAnsi="Arial" w:cs="Arial"/>
        </w:rPr>
        <w:lastRenderedPageBreak/>
        <w:t>Przedmiotowy projekt aktu prawnego wraz z Uzasadnieniem oraz Oceną Skutków Regulacji dostępny jest na stronach Rządowego Centrum Legislacji pod adresem:</w:t>
      </w:r>
    </w:p>
    <w:p w14:paraId="0E128C19" w14:textId="26DA7117" w:rsidR="00517A01" w:rsidRDefault="00517A01" w:rsidP="00517A01">
      <w:pPr>
        <w:spacing w:after="0" w:line="300" w:lineRule="auto"/>
        <w:jc w:val="both"/>
        <w:rPr>
          <w:rFonts w:ascii="Arial" w:hAnsi="Arial" w:cs="Arial"/>
        </w:rPr>
      </w:pPr>
      <w:hyperlink r:id="rId12" w:history="1">
        <w:r w:rsidRPr="000A587C">
          <w:rPr>
            <w:rStyle w:val="Hipercze"/>
            <w:rFonts w:ascii="Arial" w:hAnsi="Arial" w:cs="Arial"/>
          </w:rPr>
          <w:t>https://legislacja.rcl.gov.pl/projekt/12411853/katalog/</w:t>
        </w:r>
        <w:r w:rsidRPr="000A587C">
          <w:rPr>
            <w:rStyle w:val="Hipercze"/>
            <w:rFonts w:ascii="Arial" w:hAnsi="Arial" w:cs="Arial"/>
          </w:rPr>
          <w:t>1</w:t>
        </w:r>
        <w:r w:rsidRPr="000A587C">
          <w:rPr>
            <w:rStyle w:val="Hipercze"/>
            <w:rFonts w:ascii="Arial" w:hAnsi="Arial" w:cs="Arial"/>
          </w:rPr>
          <w:t>3211737#13211737</w:t>
        </w:r>
      </w:hyperlink>
      <w:r>
        <w:rPr>
          <w:rFonts w:ascii="Arial" w:hAnsi="Arial" w:cs="Arial"/>
        </w:rPr>
        <w:t xml:space="preserve"> </w:t>
      </w:r>
    </w:p>
    <w:p w14:paraId="49EA423D" w14:textId="77777777" w:rsidR="00517A01" w:rsidRDefault="00517A01" w:rsidP="00517A01">
      <w:pPr>
        <w:spacing w:after="0" w:line="300" w:lineRule="auto"/>
        <w:jc w:val="both"/>
        <w:rPr>
          <w:rFonts w:ascii="Arial" w:hAnsi="Arial" w:cs="Arial"/>
        </w:rPr>
      </w:pPr>
    </w:p>
    <w:p w14:paraId="7131D4FA" w14:textId="643D5617" w:rsidR="00517A01" w:rsidRDefault="00517A01" w:rsidP="00517A01">
      <w:pPr>
        <w:spacing w:after="0" w:line="300" w:lineRule="auto"/>
        <w:jc w:val="both"/>
        <w:rPr>
          <w:rFonts w:ascii="Arial" w:hAnsi="Arial" w:cs="Arial"/>
        </w:rPr>
      </w:pPr>
      <w:r w:rsidRPr="00517A01">
        <w:rPr>
          <w:rFonts w:ascii="Arial" w:hAnsi="Arial" w:cs="Arial"/>
        </w:rPr>
        <w:t>Projekt jest obecnie jednocześnie na etapie uzgodnień, konsultacji publicznych i opiniowania.</w:t>
      </w:r>
    </w:p>
    <w:p w14:paraId="73D75A0B" w14:textId="77777777" w:rsidR="001A1A77" w:rsidRDefault="001A1A77" w:rsidP="00BD54B9">
      <w:pPr>
        <w:spacing w:after="0" w:line="300" w:lineRule="auto"/>
        <w:jc w:val="both"/>
        <w:rPr>
          <w:rFonts w:ascii="Arial" w:hAnsi="Arial" w:cs="Arial"/>
        </w:rPr>
      </w:pPr>
    </w:p>
    <w:p w14:paraId="5BA624F5" w14:textId="77777777" w:rsidR="00DE351D" w:rsidRDefault="00DE351D" w:rsidP="00BD54B9">
      <w:pPr>
        <w:spacing w:after="0" w:line="300" w:lineRule="auto"/>
        <w:jc w:val="both"/>
        <w:rPr>
          <w:rFonts w:ascii="Arial" w:hAnsi="Arial" w:cs="Arial"/>
        </w:rPr>
      </w:pPr>
    </w:p>
    <w:p w14:paraId="2A2FCF62" w14:textId="77777777" w:rsidR="000C3D80" w:rsidRPr="009D1AD3" w:rsidRDefault="000C3D80" w:rsidP="000C3D80">
      <w:pPr>
        <w:spacing w:after="0" w:line="300" w:lineRule="auto"/>
        <w:rPr>
          <w:rFonts w:ascii="Arial" w:hAnsi="Arial" w:cs="Arial"/>
          <w:b/>
          <w:bCs/>
        </w:rPr>
      </w:pPr>
      <w:r w:rsidRPr="009D1AD3">
        <w:rPr>
          <w:rFonts w:ascii="Arial" w:hAnsi="Arial" w:cs="Arial"/>
          <w:b/>
          <w:bCs/>
        </w:rPr>
        <w:t>II. Stanowiska Związku Pracodawców Polska Miedź</w:t>
      </w:r>
    </w:p>
    <w:p w14:paraId="0733A045" w14:textId="77777777" w:rsidR="000C3D80" w:rsidRPr="009D1AD3" w:rsidRDefault="000C3D80" w:rsidP="000C3D80">
      <w:pPr>
        <w:spacing w:after="0" w:line="300" w:lineRule="auto"/>
        <w:rPr>
          <w:rFonts w:ascii="Arial" w:hAnsi="Arial" w:cs="Arial"/>
        </w:rPr>
      </w:pPr>
    </w:p>
    <w:p w14:paraId="62983D59" w14:textId="2D51DD63" w:rsidR="000C3D80" w:rsidRPr="009D1AD3" w:rsidRDefault="000C3D80" w:rsidP="000C3D80">
      <w:pPr>
        <w:spacing w:after="0" w:line="300" w:lineRule="auto"/>
        <w:jc w:val="both"/>
        <w:rPr>
          <w:rFonts w:ascii="Arial" w:hAnsi="Arial" w:cs="Arial"/>
        </w:rPr>
      </w:pPr>
      <w:r w:rsidRPr="009D1AD3">
        <w:rPr>
          <w:rFonts w:ascii="Arial" w:hAnsi="Arial" w:cs="Arial"/>
        </w:rPr>
        <w:t xml:space="preserve">Na podstawie opinii i ekspertyz podmiotów członkowskich Związku Pracodawców Polska Miedź przygotowano </w:t>
      </w:r>
      <w:r>
        <w:rPr>
          <w:rFonts w:ascii="Arial" w:hAnsi="Arial" w:cs="Arial"/>
        </w:rPr>
        <w:t>cztery</w:t>
      </w:r>
      <w:r w:rsidRPr="009D1AD3">
        <w:rPr>
          <w:rFonts w:ascii="Arial" w:hAnsi="Arial" w:cs="Arial"/>
        </w:rPr>
        <w:t xml:space="preserve"> stanowisk</w:t>
      </w:r>
      <w:r>
        <w:rPr>
          <w:rFonts w:ascii="Arial" w:hAnsi="Arial" w:cs="Arial"/>
        </w:rPr>
        <w:t>a</w:t>
      </w:r>
      <w:r w:rsidRPr="009D1AD3">
        <w:rPr>
          <w:rFonts w:ascii="Arial" w:hAnsi="Arial" w:cs="Arial"/>
        </w:rPr>
        <w:t xml:space="preserve"> do opublikowanych projektów aktów prawnych oraz dokumentów strategicznych.</w:t>
      </w:r>
    </w:p>
    <w:p w14:paraId="057667B6" w14:textId="77777777" w:rsidR="000C3D80" w:rsidRPr="009D1AD3" w:rsidRDefault="000C3D80" w:rsidP="000C3D80">
      <w:pPr>
        <w:spacing w:after="0" w:line="300" w:lineRule="auto"/>
        <w:jc w:val="both"/>
        <w:rPr>
          <w:rFonts w:ascii="Arial" w:hAnsi="Arial" w:cs="Arial"/>
        </w:rPr>
      </w:pPr>
    </w:p>
    <w:p w14:paraId="2A756592" w14:textId="2CD0B174" w:rsidR="000C3D80" w:rsidRPr="009D1AD3" w:rsidRDefault="000C3D80" w:rsidP="000C3D80">
      <w:pPr>
        <w:spacing w:after="0" w:line="300" w:lineRule="auto"/>
        <w:ind w:left="708"/>
        <w:jc w:val="both"/>
        <w:rPr>
          <w:rFonts w:ascii="Arial" w:hAnsi="Arial" w:cs="Arial"/>
          <w:b/>
          <w:bCs/>
          <w:u w:val="single"/>
        </w:rPr>
      </w:pPr>
      <w:bookmarkStart w:id="2" w:name="_Hlk232678483"/>
      <w:r w:rsidRPr="009D1AD3">
        <w:rPr>
          <w:rFonts w:ascii="Arial" w:hAnsi="Arial" w:cs="Arial"/>
          <w:b/>
          <w:bCs/>
          <w:u w:val="single"/>
        </w:rPr>
        <w:t xml:space="preserve">Stanowisko Związku Pracodawców Polska Miedź (uwagi Związku Pracodawców Polska Miedź) do </w:t>
      </w:r>
      <w:r w:rsidRPr="000C3D80">
        <w:rPr>
          <w:rFonts w:ascii="Arial" w:hAnsi="Arial" w:cs="Arial"/>
          <w:b/>
          <w:bCs/>
          <w:u w:val="single"/>
        </w:rPr>
        <w:t>projektu ustawy o zmianie ustawy o przygotowaniu i realizacji inwestycji w zakresie obiektów energetyki jądrowej oraz inwestycji towarzyszących oraz niektórych innych ustaw</w:t>
      </w:r>
      <w:r w:rsidRPr="009D1AD3">
        <w:rPr>
          <w:rFonts w:ascii="Arial" w:hAnsi="Arial" w:cs="Arial"/>
          <w:b/>
          <w:bCs/>
          <w:u w:val="single"/>
        </w:rPr>
        <w:t>.</w:t>
      </w:r>
    </w:p>
    <w:p w14:paraId="74C64B35" w14:textId="77777777" w:rsidR="000C3D80" w:rsidRPr="009D1AD3" w:rsidRDefault="000C3D80" w:rsidP="000C3D80">
      <w:pPr>
        <w:spacing w:after="0" w:line="300" w:lineRule="auto"/>
        <w:jc w:val="both"/>
        <w:rPr>
          <w:rFonts w:ascii="Arial" w:hAnsi="Arial" w:cs="Arial"/>
        </w:rPr>
      </w:pPr>
    </w:p>
    <w:p w14:paraId="764020CB" w14:textId="3E15B6F3" w:rsidR="000C3D80" w:rsidRPr="009D1AD3" w:rsidRDefault="000C3D80" w:rsidP="000C3D80">
      <w:pPr>
        <w:spacing w:after="0" w:line="300" w:lineRule="auto"/>
        <w:jc w:val="both"/>
        <w:rPr>
          <w:rFonts w:ascii="Arial" w:hAnsi="Arial" w:cs="Arial"/>
        </w:rPr>
      </w:pPr>
      <w:r w:rsidRPr="009D1AD3">
        <w:rPr>
          <w:rFonts w:ascii="Arial" w:hAnsi="Arial" w:cs="Arial"/>
        </w:rPr>
        <w:t xml:space="preserve">Projekt z dnia </w:t>
      </w:r>
      <w:r>
        <w:rPr>
          <w:rFonts w:ascii="Arial" w:hAnsi="Arial" w:cs="Arial"/>
        </w:rPr>
        <w:t>3 czerwca</w:t>
      </w:r>
      <w:r w:rsidRPr="009D1AD3">
        <w:rPr>
          <w:rFonts w:ascii="Arial" w:hAnsi="Arial" w:cs="Arial"/>
        </w:rPr>
        <w:t xml:space="preserve"> 2026 roku, opublikowany na stronie BIP Rządowego Centrum Legislacji w dniu </w:t>
      </w:r>
      <w:r>
        <w:rPr>
          <w:rFonts w:ascii="Arial" w:hAnsi="Arial" w:cs="Arial"/>
        </w:rPr>
        <w:t>5</w:t>
      </w:r>
      <w:r>
        <w:rPr>
          <w:rFonts w:ascii="Arial" w:hAnsi="Arial" w:cs="Arial"/>
        </w:rPr>
        <w:t xml:space="preserve"> czerwca</w:t>
      </w:r>
      <w:r w:rsidRPr="009D1AD3">
        <w:rPr>
          <w:rFonts w:ascii="Arial" w:hAnsi="Arial" w:cs="Arial"/>
        </w:rPr>
        <w:t xml:space="preserve"> 2026 roku (nr </w:t>
      </w:r>
      <w:r w:rsidRPr="000C3D80">
        <w:rPr>
          <w:rFonts w:ascii="Arial" w:hAnsi="Arial" w:cs="Arial"/>
        </w:rPr>
        <w:t>UD382</w:t>
      </w:r>
      <w:r w:rsidRPr="009D1AD3">
        <w:rPr>
          <w:rFonts w:ascii="Arial" w:hAnsi="Arial" w:cs="Arial"/>
        </w:rPr>
        <w:t xml:space="preserve"> w Wykazie prac legislacyjnych i programowych Rady Ministrów).</w:t>
      </w:r>
    </w:p>
    <w:p w14:paraId="1537055C" w14:textId="3DE9B6D4" w:rsidR="000C3D80" w:rsidRPr="00042C7F" w:rsidRDefault="000C3D80" w:rsidP="000C3D80">
      <w:pPr>
        <w:spacing w:after="0" w:line="300" w:lineRule="auto"/>
        <w:jc w:val="both"/>
        <w:rPr>
          <w:rFonts w:ascii="Arial" w:hAnsi="Arial" w:cs="Arial"/>
        </w:rPr>
      </w:pPr>
      <w:r w:rsidRPr="009D1AD3">
        <w:rPr>
          <w:rFonts w:ascii="Arial" w:hAnsi="Arial" w:cs="Arial"/>
        </w:rPr>
        <w:t xml:space="preserve">Przedmiotowe stanowisko zostało przesłane do </w:t>
      </w:r>
      <w:bookmarkStart w:id="3" w:name="_Hlk233980370"/>
      <w:r w:rsidRPr="000C3D80">
        <w:rPr>
          <w:rFonts w:ascii="Arial" w:hAnsi="Arial" w:cs="Arial"/>
        </w:rPr>
        <w:t xml:space="preserve">Ministerstwo Energii </w:t>
      </w:r>
      <w:bookmarkEnd w:id="3"/>
      <w:r w:rsidRPr="009D1AD3">
        <w:rPr>
          <w:rFonts w:ascii="Arial" w:hAnsi="Arial" w:cs="Arial"/>
        </w:rPr>
        <w:t>oraz reprezentatywnych organizacji pracodawców, z którymi Związek Pracodawców Polska Miedź współpracuje.</w:t>
      </w:r>
      <w:r>
        <w:rPr>
          <w:rFonts w:ascii="Arial" w:hAnsi="Arial" w:cs="Arial"/>
        </w:rPr>
        <w:t xml:space="preserve"> </w:t>
      </w:r>
    </w:p>
    <w:bookmarkEnd w:id="2"/>
    <w:p w14:paraId="7AD54667" w14:textId="77777777" w:rsidR="000C3D80" w:rsidRDefault="000C3D80" w:rsidP="000C3D80">
      <w:pPr>
        <w:spacing w:after="0" w:line="300" w:lineRule="auto"/>
        <w:jc w:val="both"/>
        <w:rPr>
          <w:rFonts w:ascii="Arial" w:hAnsi="Arial" w:cs="Arial"/>
        </w:rPr>
      </w:pPr>
    </w:p>
    <w:p w14:paraId="62FACF28" w14:textId="10199775" w:rsidR="000C3D80" w:rsidRPr="00AD05DA" w:rsidRDefault="000C3D80" w:rsidP="000C3D80">
      <w:pPr>
        <w:spacing w:after="0" w:line="300" w:lineRule="auto"/>
        <w:ind w:left="708"/>
        <w:jc w:val="both"/>
        <w:rPr>
          <w:rFonts w:ascii="Arial" w:hAnsi="Arial" w:cs="Arial"/>
          <w:b/>
          <w:bCs/>
          <w:u w:val="single"/>
        </w:rPr>
      </w:pPr>
      <w:r w:rsidRPr="00AD05DA">
        <w:rPr>
          <w:rFonts w:ascii="Arial" w:hAnsi="Arial" w:cs="Arial"/>
          <w:b/>
          <w:bCs/>
          <w:u w:val="single"/>
        </w:rPr>
        <w:t xml:space="preserve">Stanowisko Związku Pracodawców Polska Miedź (uwagi Związku Pracodawców Polska Miedź) do </w:t>
      </w:r>
      <w:r w:rsidRPr="000C3D80">
        <w:rPr>
          <w:rFonts w:ascii="Arial" w:hAnsi="Arial" w:cs="Arial"/>
          <w:b/>
          <w:bCs/>
          <w:u w:val="single"/>
        </w:rPr>
        <w:t>projektu rozporządzenia Ministra Energii w sprawie szczegółowych warunków funkcjonowania systemu elektroenergetycznego</w:t>
      </w:r>
      <w:r w:rsidRPr="00AD05DA">
        <w:rPr>
          <w:rFonts w:ascii="Arial" w:hAnsi="Arial" w:cs="Arial"/>
          <w:b/>
          <w:bCs/>
          <w:u w:val="single"/>
        </w:rPr>
        <w:t>.</w:t>
      </w:r>
    </w:p>
    <w:p w14:paraId="4AEA278B" w14:textId="77777777" w:rsidR="000C3D80" w:rsidRPr="00AD05DA" w:rsidRDefault="000C3D80" w:rsidP="000C3D80">
      <w:pPr>
        <w:spacing w:after="0" w:line="300" w:lineRule="auto"/>
        <w:jc w:val="both"/>
        <w:rPr>
          <w:rFonts w:ascii="Arial" w:hAnsi="Arial" w:cs="Arial"/>
        </w:rPr>
      </w:pPr>
    </w:p>
    <w:p w14:paraId="13FBDC8F" w14:textId="25EE5184" w:rsidR="000C3D80" w:rsidRPr="00AD05DA" w:rsidRDefault="000C3D80" w:rsidP="000C3D80">
      <w:pPr>
        <w:spacing w:after="0" w:line="300" w:lineRule="auto"/>
        <w:jc w:val="both"/>
        <w:rPr>
          <w:rFonts w:ascii="Arial" w:hAnsi="Arial" w:cs="Arial"/>
        </w:rPr>
      </w:pPr>
      <w:r w:rsidRPr="00AD05DA">
        <w:rPr>
          <w:rFonts w:ascii="Arial" w:hAnsi="Arial" w:cs="Arial"/>
        </w:rPr>
        <w:t xml:space="preserve">Projekt z dnia </w:t>
      </w:r>
      <w:r>
        <w:rPr>
          <w:rFonts w:ascii="Arial" w:hAnsi="Arial" w:cs="Arial"/>
        </w:rPr>
        <w:t>2</w:t>
      </w:r>
      <w:r>
        <w:rPr>
          <w:rFonts w:ascii="Arial" w:hAnsi="Arial" w:cs="Arial"/>
        </w:rPr>
        <w:t>2</w:t>
      </w:r>
      <w:r w:rsidRPr="00AD05DA">
        <w:rPr>
          <w:rFonts w:ascii="Arial" w:hAnsi="Arial" w:cs="Arial"/>
        </w:rPr>
        <w:t xml:space="preserve"> maja 2026 roku, opublikowany na stronie BIP Rządowego Centrum Legislacji w dniu </w:t>
      </w:r>
      <w:r>
        <w:rPr>
          <w:rFonts w:ascii="Arial" w:hAnsi="Arial" w:cs="Arial"/>
        </w:rPr>
        <w:t>2</w:t>
      </w:r>
      <w:r w:rsidR="00560F2B">
        <w:rPr>
          <w:rFonts w:ascii="Arial" w:hAnsi="Arial" w:cs="Arial"/>
        </w:rPr>
        <w:t>5</w:t>
      </w:r>
      <w:r w:rsidRPr="00AD05DA">
        <w:rPr>
          <w:rFonts w:ascii="Arial" w:hAnsi="Arial" w:cs="Arial"/>
        </w:rPr>
        <w:t xml:space="preserve"> maja 2026 roku (nr </w:t>
      </w:r>
      <w:r w:rsidR="00560F2B">
        <w:rPr>
          <w:rFonts w:ascii="Arial" w:hAnsi="Arial" w:cs="Arial"/>
        </w:rPr>
        <w:t>17</w:t>
      </w:r>
      <w:r w:rsidRPr="00AD05DA">
        <w:rPr>
          <w:rFonts w:ascii="Arial" w:hAnsi="Arial" w:cs="Arial"/>
        </w:rPr>
        <w:t xml:space="preserve"> w Wykazie prac legislacyjnych i programowych Rady Ministrów).</w:t>
      </w:r>
    </w:p>
    <w:p w14:paraId="4049245A" w14:textId="5F4FE704" w:rsidR="000C3D80" w:rsidRDefault="000C3D80" w:rsidP="000C3D80">
      <w:pPr>
        <w:spacing w:after="0" w:line="300" w:lineRule="auto"/>
        <w:jc w:val="both"/>
        <w:rPr>
          <w:rFonts w:ascii="Arial" w:hAnsi="Arial" w:cs="Arial"/>
        </w:rPr>
      </w:pPr>
      <w:r w:rsidRPr="00AD05DA">
        <w:rPr>
          <w:rFonts w:ascii="Arial" w:hAnsi="Arial" w:cs="Arial"/>
        </w:rPr>
        <w:t xml:space="preserve">Przedmiotowe stanowisko zostało przesłane do </w:t>
      </w:r>
      <w:r w:rsidR="00560F2B" w:rsidRPr="00560F2B">
        <w:rPr>
          <w:rFonts w:ascii="Arial" w:hAnsi="Arial" w:cs="Arial"/>
        </w:rPr>
        <w:t xml:space="preserve">Ministerstwo Energii </w:t>
      </w:r>
      <w:r w:rsidRPr="00AD05DA">
        <w:rPr>
          <w:rFonts w:ascii="Arial" w:hAnsi="Arial" w:cs="Arial"/>
        </w:rPr>
        <w:t>oraz reprezentatywnych organizacji pracodawców, z którymi Związek Pracodawców Polska Miedź współpracuje.</w:t>
      </w:r>
    </w:p>
    <w:p w14:paraId="510478B2" w14:textId="77777777" w:rsidR="000C3D80" w:rsidRDefault="000C3D80" w:rsidP="000C3D80">
      <w:pPr>
        <w:spacing w:after="0" w:line="300" w:lineRule="auto"/>
        <w:jc w:val="both"/>
        <w:rPr>
          <w:rFonts w:ascii="Arial" w:hAnsi="Arial" w:cs="Arial"/>
        </w:rPr>
      </w:pPr>
      <w:bookmarkStart w:id="4" w:name="_Hlk233979905"/>
    </w:p>
    <w:p w14:paraId="33972300" w14:textId="2DADEBE5" w:rsidR="000C3D80" w:rsidRPr="00AD05DA" w:rsidRDefault="000C3D80" w:rsidP="000C3D80">
      <w:pPr>
        <w:spacing w:after="0" w:line="300" w:lineRule="auto"/>
        <w:ind w:left="708"/>
        <w:jc w:val="both"/>
        <w:rPr>
          <w:rFonts w:ascii="Arial" w:hAnsi="Arial" w:cs="Arial"/>
          <w:b/>
          <w:bCs/>
          <w:u w:val="single"/>
        </w:rPr>
      </w:pPr>
      <w:r w:rsidRPr="00AD05DA">
        <w:rPr>
          <w:rFonts w:ascii="Arial" w:hAnsi="Arial" w:cs="Arial"/>
          <w:b/>
          <w:bCs/>
          <w:u w:val="single"/>
        </w:rPr>
        <w:t xml:space="preserve">Stanowisko Związku Pracodawców Polska Miedź (uwagi Związku Pracodawców Polska Miedź) do </w:t>
      </w:r>
      <w:r w:rsidR="00560F2B" w:rsidRPr="00560F2B">
        <w:rPr>
          <w:rFonts w:ascii="Arial" w:hAnsi="Arial" w:cs="Arial"/>
          <w:b/>
          <w:bCs/>
          <w:u w:val="single"/>
        </w:rPr>
        <w:t>projektu rozporządzenia Ministra Finansów i Gospodarki zmieniającego rozporządzenie w sprawie towarów, których przewóz jest objęty systemem monitorowania drogowego i kolejowego przewozu towarów oraz obrotu paliwami opałowymi</w:t>
      </w:r>
      <w:r w:rsidRPr="00AD05DA">
        <w:rPr>
          <w:rFonts w:ascii="Arial" w:hAnsi="Arial" w:cs="Arial"/>
          <w:b/>
          <w:bCs/>
          <w:u w:val="single"/>
        </w:rPr>
        <w:t>.</w:t>
      </w:r>
    </w:p>
    <w:p w14:paraId="482684C7" w14:textId="77777777" w:rsidR="000C3D80" w:rsidRPr="00AD05DA" w:rsidRDefault="000C3D80" w:rsidP="000C3D80">
      <w:pPr>
        <w:spacing w:after="0" w:line="300" w:lineRule="auto"/>
        <w:jc w:val="both"/>
        <w:rPr>
          <w:rFonts w:ascii="Arial" w:hAnsi="Arial" w:cs="Arial"/>
        </w:rPr>
      </w:pPr>
    </w:p>
    <w:p w14:paraId="08C08E9A" w14:textId="18F97052" w:rsidR="000C3D80" w:rsidRPr="00AD05DA" w:rsidRDefault="000C3D80" w:rsidP="000C3D80">
      <w:pPr>
        <w:spacing w:after="0" w:line="300" w:lineRule="auto"/>
        <w:jc w:val="both"/>
        <w:rPr>
          <w:rFonts w:ascii="Arial" w:hAnsi="Arial" w:cs="Arial"/>
        </w:rPr>
      </w:pPr>
      <w:r w:rsidRPr="00AD05DA">
        <w:rPr>
          <w:rFonts w:ascii="Arial" w:hAnsi="Arial" w:cs="Arial"/>
        </w:rPr>
        <w:t xml:space="preserve">Projekt z dnia </w:t>
      </w:r>
      <w:r w:rsidR="00560F2B" w:rsidRPr="00560F2B">
        <w:rPr>
          <w:rFonts w:ascii="Arial" w:hAnsi="Arial" w:cs="Arial"/>
        </w:rPr>
        <w:t xml:space="preserve">20 maja </w:t>
      </w:r>
      <w:r w:rsidRPr="00AD05DA">
        <w:rPr>
          <w:rFonts w:ascii="Arial" w:hAnsi="Arial" w:cs="Arial"/>
        </w:rPr>
        <w:t xml:space="preserve">2026 roku, opublikowany na stronie BIP Rządowego Centrum Legislacji w dniu </w:t>
      </w:r>
      <w:r w:rsidR="00560F2B">
        <w:rPr>
          <w:rFonts w:ascii="Arial" w:hAnsi="Arial" w:cs="Arial"/>
        </w:rPr>
        <w:t>16 czerwca</w:t>
      </w:r>
      <w:r w:rsidRPr="00AD05DA">
        <w:rPr>
          <w:rFonts w:ascii="Arial" w:hAnsi="Arial" w:cs="Arial"/>
        </w:rPr>
        <w:t xml:space="preserve"> 2026 roku (nr </w:t>
      </w:r>
      <w:r w:rsidR="00560F2B" w:rsidRPr="00560F2B">
        <w:rPr>
          <w:rFonts w:ascii="Arial" w:hAnsi="Arial" w:cs="Arial"/>
        </w:rPr>
        <w:t xml:space="preserve">WPL 35/2026 </w:t>
      </w:r>
      <w:r w:rsidRPr="00AD05DA">
        <w:rPr>
          <w:rFonts w:ascii="Arial" w:hAnsi="Arial" w:cs="Arial"/>
        </w:rPr>
        <w:t xml:space="preserve"> w Wykazie prac legislacyjnych i programowych Rady Ministrów).</w:t>
      </w:r>
    </w:p>
    <w:p w14:paraId="5E2B6849" w14:textId="21670DAD" w:rsidR="000C3D80" w:rsidRPr="00042C7F" w:rsidRDefault="000C3D80" w:rsidP="000C3D80">
      <w:pPr>
        <w:spacing w:after="0" w:line="300" w:lineRule="auto"/>
        <w:jc w:val="both"/>
        <w:rPr>
          <w:rFonts w:ascii="Arial" w:hAnsi="Arial" w:cs="Arial"/>
        </w:rPr>
      </w:pPr>
      <w:r w:rsidRPr="00AD05DA">
        <w:rPr>
          <w:rFonts w:ascii="Arial" w:hAnsi="Arial" w:cs="Arial"/>
        </w:rPr>
        <w:lastRenderedPageBreak/>
        <w:t xml:space="preserve">Przedmiotowe stanowisko zostało przesłane do </w:t>
      </w:r>
      <w:r w:rsidR="00560F2B" w:rsidRPr="00560F2B">
        <w:rPr>
          <w:rFonts w:ascii="Arial" w:hAnsi="Arial" w:cs="Arial"/>
        </w:rPr>
        <w:t xml:space="preserve">Ministra Finansów </w:t>
      </w:r>
      <w:r w:rsidRPr="00AD05DA">
        <w:rPr>
          <w:rFonts w:ascii="Arial" w:hAnsi="Arial" w:cs="Arial"/>
        </w:rPr>
        <w:t>oraz reprezentatywnych organizacji pracodawców, z którymi Związek Pracodawców Polska Miedź współpracuje.</w:t>
      </w:r>
    </w:p>
    <w:bookmarkEnd w:id="4"/>
    <w:p w14:paraId="51386D79" w14:textId="77777777" w:rsidR="000C3D80" w:rsidRDefault="000C3D80" w:rsidP="000C3D80">
      <w:pPr>
        <w:spacing w:after="0" w:line="300" w:lineRule="auto"/>
        <w:jc w:val="both"/>
        <w:rPr>
          <w:rFonts w:ascii="Arial" w:hAnsi="Arial" w:cs="Arial"/>
        </w:rPr>
      </w:pPr>
    </w:p>
    <w:p w14:paraId="7CCC8E33" w14:textId="59FEF4D0" w:rsidR="000C3D80" w:rsidRPr="00AD05DA" w:rsidRDefault="000C3D80" w:rsidP="000C3D80">
      <w:pPr>
        <w:spacing w:after="0" w:line="300" w:lineRule="auto"/>
        <w:ind w:left="708"/>
        <w:jc w:val="both"/>
        <w:rPr>
          <w:rFonts w:ascii="Arial" w:hAnsi="Arial" w:cs="Arial"/>
          <w:b/>
          <w:bCs/>
          <w:u w:val="single"/>
        </w:rPr>
      </w:pPr>
      <w:r w:rsidRPr="00AD05DA">
        <w:rPr>
          <w:rFonts w:ascii="Arial" w:hAnsi="Arial" w:cs="Arial"/>
          <w:b/>
          <w:bCs/>
          <w:u w:val="single"/>
        </w:rPr>
        <w:t xml:space="preserve">Stanowisko Związku Pracodawców Polska Miedź (uwagi Związku Pracodawców Polska Miedź) do </w:t>
      </w:r>
      <w:r w:rsidR="00E436DB" w:rsidRPr="00E436DB">
        <w:rPr>
          <w:rFonts w:ascii="Arial" w:hAnsi="Arial" w:cs="Arial"/>
          <w:b/>
          <w:bCs/>
          <w:u w:val="single"/>
        </w:rPr>
        <w:t>projektu rozporządzenia Ministra Rodziny, Pracy i Polityki Społecznej w sprawie zakresu informacji o okolicznościach mających wpływ na prawo do zasiłków z ubezpieczenia społecznego w razie choroby i macierzyństwa lub ich wysokość oraz dokumentów niezbędnych do przyznania i wypłaty zasiłków</w:t>
      </w:r>
      <w:r w:rsidRPr="00AD05DA">
        <w:rPr>
          <w:rFonts w:ascii="Arial" w:hAnsi="Arial" w:cs="Arial"/>
          <w:b/>
          <w:bCs/>
          <w:u w:val="single"/>
        </w:rPr>
        <w:t>.</w:t>
      </w:r>
    </w:p>
    <w:p w14:paraId="4E783329" w14:textId="77777777" w:rsidR="000C3D80" w:rsidRPr="00AD05DA" w:rsidRDefault="000C3D80" w:rsidP="000C3D80">
      <w:pPr>
        <w:spacing w:after="0" w:line="300" w:lineRule="auto"/>
        <w:jc w:val="both"/>
        <w:rPr>
          <w:rFonts w:ascii="Arial" w:hAnsi="Arial" w:cs="Arial"/>
        </w:rPr>
      </w:pPr>
    </w:p>
    <w:p w14:paraId="744F96D0" w14:textId="6D6ECD7E" w:rsidR="000C3D80" w:rsidRPr="00AD05DA" w:rsidRDefault="000C3D80" w:rsidP="000C3D80">
      <w:pPr>
        <w:spacing w:after="0" w:line="300" w:lineRule="auto"/>
        <w:jc w:val="both"/>
        <w:rPr>
          <w:rFonts w:ascii="Arial" w:hAnsi="Arial" w:cs="Arial"/>
        </w:rPr>
      </w:pPr>
      <w:r w:rsidRPr="00AD05DA">
        <w:rPr>
          <w:rFonts w:ascii="Arial" w:hAnsi="Arial" w:cs="Arial"/>
        </w:rPr>
        <w:t xml:space="preserve">Projekt z dnia </w:t>
      </w:r>
      <w:r>
        <w:rPr>
          <w:rFonts w:ascii="Arial" w:hAnsi="Arial" w:cs="Arial"/>
        </w:rPr>
        <w:t>28</w:t>
      </w:r>
      <w:r w:rsidRPr="00AD05DA">
        <w:rPr>
          <w:rFonts w:ascii="Arial" w:hAnsi="Arial" w:cs="Arial"/>
        </w:rPr>
        <w:t xml:space="preserve"> maja 2026 roku, opublikowany na stronie BIP Rządowego Centrum Legislacji w dniu 9 </w:t>
      </w:r>
      <w:r w:rsidR="00E436DB">
        <w:rPr>
          <w:rFonts w:ascii="Arial" w:hAnsi="Arial" w:cs="Arial"/>
        </w:rPr>
        <w:t>czerwca</w:t>
      </w:r>
      <w:r w:rsidRPr="00AD05DA">
        <w:rPr>
          <w:rFonts w:ascii="Arial" w:hAnsi="Arial" w:cs="Arial"/>
        </w:rPr>
        <w:t xml:space="preserve"> 2026 roku (nr </w:t>
      </w:r>
      <w:r>
        <w:rPr>
          <w:rFonts w:ascii="Arial" w:hAnsi="Arial" w:cs="Arial"/>
        </w:rPr>
        <w:t>1</w:t>
      </w:r>
      <w:r w:rsidR="00E436DB">
        <w:rPr>
          <w:rFonts w:ascii="Arial" w:hAnsi="Arial" w:cs="Arial"/>
        </w:rPr>
        <w:t>05</w:t>
      </w:r>
      <w:r w:rsidRPr="00AD05DA">
        <w:rPr>
          <w:rFonts w:ascii="Arial" w:hAnsi="Arial" w:cs="Arial"/>
        </w:rPr>
        <w:t xml:space="preserve"> w Wykazie prac legislacyjnych i programowych Rady Ministrów).</w:t>
      </w:r>
    </w:p>
    <w:p w14:paraId="2C59B17C" w14:textId="6DCA19E3" w:rsidR="000C3D80" w:rsidRPr="00042C7F" w:rsidRDefault="000C3D80" w:rsidP="000C3D80">
      <w:pPr>
        <w:spacing w:after="0" w:line="300" w:lineRule="auto"/>
        <w:jc w:val="both"/>
        <w:rPr>
          <w:rFonts w:ascii="Arial" w:hAnsi="Arial" w:cs="Arial"/>
        </w:rPr>
      </w:pPr>
      <w:r w:rsidRPr="00AD05DA">
        <w:rPr>
          <w:rFonts w:ascii="Arial" w:hAnsi="Arial" w:cs="Arial"/>
        </w:rPr>
        <w:t xml:space="preserve">Przedmiotowe stanowisko zostało przesłane do </w:t>
      </w:r>
      <w:r w:rsidR="00E436DB" w:rsidRPr="00E436DB">
        <w:rPr>
          <w:rFonts w:ascii="Arial" w:hAnsi="Arial" w:cs="Arial"/>
        </w:rPr>
        <w:t>Ministra Rodziny, Pracy i Polityki Społecznej</w:t>
      </w:r>
      <w:r w:rsidR="00E436DB" w:rsidRPr="00E436DB">
        <w:rPr>
          <w:rFonts w:ascii="Arial" w:hAnsi="Arial" w:cs="Arial"/>
        </w:rPr>
        <w:t xml:space="preserve"> </w:t>
      </w:r>
      <w:r w:rsidRPr="00AD05DA">
        <w:rPr>
          <w:rFonts w:ascii="Arial" w:hAnsi="Arial" w:cs="Arial"/>
        </w:rPr>
        <w:t>oraz reprezentatywnych organizacji pracodawców, z którymi Związek Pracodawców Polska Miedź współpracuje.</w:t>
      </w:r>
    </w:p>
    <w:p w14:paraId="52384074" w14:textId="77777777" w:rsidR="00BD54B9" w:rsidRPr="00CC391D" w:rsidRDefault="00BD54B9" w:rsidP="00BD54B9">
      <w:pPr>
        <w:spacing w:after="0" w:line="300" w:lineRule="auto"/>
        <w:jc w:val="both"/>
        <w:rPr>
          <w:rFonts w:ascii="Arial" w:hAnsi="Arial" w:cs="Arial"/>
          <w:bCs/>
        </w:rPr>
      </w:pPr>
    </w:p>
    <w:p w14:paraId="530D81F9" w14:textId="77777777" w:rsidR="00BD54B9" w:rsidRPr="00CB4A6E" w:rsidRDefault="00BD54B9" w:rsidP="00BD54B9">
      <w:pPr>
        <w:spacing w:after="0" w:line="300" w:lineRule="auto"/>
        <w:rPr>
          <w:rFonts w:ascii="Arial" w:hAnsi="Arial" w:cs="Arial"/>
        </w:rPr>
      </w:pPr>
    </w:p>
    <w:p w14:paraId="48401382" w14:textId="7E13547B" w:rsidR="00BD54B9" w:rsidRDefault="00BD54B9" w:rsidP="00BD54B9">
      <w:pPr>
        <w:spacing w:after="0" w:line="300" w:lineRule="auto"/>
        <w:jc w:val="both"/>
        <w:rPr>
          <w:rFonts w:ascii="Arial" w:hAnsi="Arial" w:cs="Arial"/>
          <w:b/>
        </w:rPr>
      </w:pPr>
      <w:r>
        <w:rPr>
          <w:rFonts w:ascii="Arial" w:hAnsi="Arial" w:cs="Arial"/>
          <w:b/>
        </w:rPr>
        <w:t>I</w:t>
      </w:r>
      <w:r w:rsidR="000C3D80">
        <w:rPr>
          <w:rFonts w:ascii="Arial" w:hAnsi="Arial" w:cs="Arial"/>
          <w:b/>
        </w:rPr>
        <w:t>I</w:t>
      </w:r>
      <w:r>
        <w:rPr>
          <w:rFonts w:ascii="Arial" w:hAnsi="Arial" w:cs="Arial"/>
          <w:b/>
        </w:rPr>
        <w:t>I. Ogłoszone akty prawne (Dziennik Ustaw RP)</w:t>
      </w:r>
    </w:p>
    <w:p w14:paraId="5D394B33" w14:textId="77777777" w:rsidR="00BD54B9" w:rsidRDefault="00BD54B9" w:rsidP="00BD54B9">
      <w:pPr>
        <w:spacing w:after="0" w:line="300" w:lineRule="auto"/>
        <w:jc w:val="both"/>
        <w:rPr>
          <w:rFonts w:ascii="Arial" w:hAnsi="Arial" w:cs="Arial"/>
        </w:rPr>
      </w:pPr>
    </w:p>
    <w:p w14:paraId="7A06CFB8" w14:textId="4D6A212E" w:rsidR="00BD54B9" w:rsidRDefault="00BD54B9" w:rsidP="00BD54B9">
      <w:pPr>
        <w:spacing w:after="0" w:line="300" w:lineRule="auto"/>
        <w:jc w:val="both"/>
        <w:rPr>
          <w:rFonts w:ascii="Arial" w:hAnsi="Arial" w:cs="Arial"/>
        </w:rPr>
      </w:pPr>
      <w:r>
        <w:rPr>
          <w:rFonts w:ascii="Arial" w:hAnsi="Arial" w:cs="Arial"/>
        </w:rPr>
        <w:t xml:space="preserve">W analizowanym okresie ogłoszono </w:t>
      </w:r>
      <w:r w:rsidR="00C2499D">
        <w:rPr>
          <w:rFonts w:ascii="Arial" w:hAnsi="Arial" w:cs="Arial"/>
        </w:rPr>
        <w:t>82</w:t>
      </w:r>
      <w:r>
        <w:rPr>
          <w:rFonts w:ascii="Arial" w:hAnsi="Arial" w:cs="Arial"/>
        </w:rPr>
        <w:t xml:space="preserve"> akt</w:t>
      </w:r>
      <w:r w:rsidR="00C2499D">
        <w:rPr>
          <w:rFonts w:ascii="Arial" w:hAnsi="Arial" w:cs="Arial"/>
        </w:rPr>
        <w:t>y</w:t>
      </w:r>
      <w:r>
        <w:rPr>
          <w:rFonts w:ascii="Arial" w:hAnsi="Arial" w:cs="Arial"/>
        </w:rPr>
        <w:t xml:space="preserve"> prawn</w:t>
      </w:r>
      <w:r w:rsidR="00C2499D">
        <w:rPr>
          <w:rFonts w:ascii="Arial" w:hAnsi="Arial" w:cs="Arial"/>
        </w:rPr>
        <w:t>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725BD122" w14:textId="77777777" w:rsidR="00BD54B9" w:rsidRDefault="00BD54B9" w:rsidP="00BD54B9">
      <w:pPr>
        <w:spacing w:after="0" w:line="300" w:lineRule="auto"/>
        <w:jc w:val="both"/>
        <w:rPr>
          <w:rFonts w:ascii="Arial" w:hAnsi="Arial" w:cs="Arial"/>
        </w:rPr>
      </w:pPr>
    </w:p>
    <w:p w14:paraId="4772F8F7" w14:textId="21085B89" w:rsidR="00BD54B9" w:rsidRPr="00F7310F" w:rsidRDefault="00C2499D" w:rsidP="00BD54B9">
      <w:pPr>
        <w:pStyle w:val="Akapitzlist"/>
        <w:numPr>
          <w:ilvl w:val="0"/>
          <w:numId w:val="2"/>
        </w:numPr>
        <w:spacing w:after="0" w:line="300" w:lineRule="auto"/>
        <w:ind w:left="426" w:hanging="426"/>
        <w:jc w:val="both"/>
        <w:rPr>
          <w:rFonts w:ascii="Arial" w:hAnsi="Arial" w:cs="Arial"/>
          <w:b/>
          <w:bCs/>
          <w:u w:val="single"/>
        </w:rPr>
      </w:pPr>
      <w:r w:rsidRPr="00F7310F">
        <w:rPr>
          <w:rFonts w:ascii="Arial" w:hAnsi="Arial" w:cs="Arial"/>
          <w:b/>
          <w:bCs/>
          <w:u w:val="single"/>
        </w:rPr>
        <w:t>Ustawa z dnia 15 maja 2026 r. o zmianie ustawy o podatku dochodowym od osób fizycznych, ustawy o podatku dochodowym od osób prawnych oraz ustawy o zryczałtowanym podatku dochodowym od niektórych przychodów osiąganych przez osoby fizyczne</w:t>
      </w:r>
      <w:r w:rsidR="00BD54B9" w:rsidRPr="00F7310F">
        <w:rPr>
          <w:rFonts w:ascii="Arial" w:hAnsi="Arial" w:cs="Arial"/>
          <w:b/>
          <w:bCs/>
          <w:u w:val="single"/>
        </w:rPr>
        <w:t>.</w:t>
      </w:r>
    </w:p>
    <w:p w14:paraId="703D9342" w14:textId="77777777" w:rsidR="00C2499D" w:rsidRDefault="00C2499D" w:rsidP="00C2499D">
      <w:pPr>
        <w:spacing w:after="0" w:line="300" w:lineRule="auto"/>
        <w:jc w:val="both"/>
        <w:rPr>
          <w:rFonts w:ascii="Arial" w:eastAsia="Times New Roman" w:hAnsi="Arial" w:cs="Arial"/>
          <w:lang w:eastAsia="pl-PL"/>
        </w:rPr>
      </w:pPr>
    </w:p>
    <w:p w14:paraId="20C60010" w14:textId="2F192C62" w:rsidR="00BD54B9" w:rsidRPr="00C2499D" w:rsidRDefault="00BD54B9" w:rsidP="00C2499D">
      <w:pPr>
        <w:spacing w:after="0" w:line="300" w:lineRule="auto"/>
        <w:jc w:val="both"/>
        <w:rPr>
          <w:rFonts w:ascii="Arial" w:eastAsia="Times New Roman" w:hAnsi="Arial" w:cs="Arial"/>
          <w:lang w:eastAsia="pl-PL"/>
        </w:rPr>
      </w:pPr>
      <w:r w:rsidRPr="00C2499D">
        <w:rPr>
          <w:rFonts w:ascii="Arial" w:eastAsia="Times New Roman" w:hAnsi="Arial" w:cs="Arial"/>
          <w:lang w:eastAsia="pl-PL"/>
        </w:rPr>
        <w:t xml:space="preserve">Powyższy akt prawny ogłoszony został </w:t>
      </w:r>
      <w:r w:rsidR="00C2499D">
        <w:rPr>
          <w:rFonts w:ascii="Arial" w:eastAsia="Times New Roman" w:hAnsi="Arial" w:cs="Arial"/>
          <w:lang w:eastAsia="pl-PL"/>
        </w:rPr>
        <w:t>15 czerwca</w:t>
      </w:r>
      <w:r w:rsidRPr="00C2499D">
        <w:rPr>
          <w:rFonts w:ascii="Arial" w:eastAsia="Times New Roman" w:hAnsi="Arial" w:cs="Arial"/>
          <w:lang w:eastAsia="pl-PL"/>
        </w:rPr>
        <w:t xml:space="preserve"> 202</w:t>
      </w:r>
      <w:r w:rsidR="00C2499D">
        <w:rPr>
          <w:rFonts w:ascii="Arial" w:eastAsia="Times New Roman" w:hAnsi="Arial" w:cs="Arial"/>
          <w:lang w:eastAsia="pl-PL"/>
        </w:rPr>
        <w:t>6</w:t>
      </w:r>
      <w:r w:rsidRPr="00C2499D">
        <w:rPr>
          <w:rFonts w:ascii="Arial" w:eastAsia="Times New Roman" w:hAnsi="Arial" w:cs="Arial"/>
          <w:lang w:eastAsia="pl-PL"/>
        </w:rPr>
        <w:t xml:space="preserve"> roku w Dzienniku Ustaw (Dz.U. z 202</w:t>
      </w:r>
      <w:r w:rsidR="00C2499D">
        <w:rPr>
          <w:rFonts w:ascii="Arial" w:eastAsia="Times New Roman" w:hAnsi="Arial" w:cs="Arial"/>
          <w:lang w:eastAsia="pl-PL"/>
        </w:rPr>
        <w:t>6</w:t>
      </w:r>
      <w:r w:rsidRPr="00C2499D">
        <w:rPr>
          <w:rFonts w:ascii="Arial" w:eastAsia="Times New Roman" w:hAnsi="Arial" w:cs="Arial"/>
          <w:lang w:eastAsia="pl-PL"/>
        </w:rPr>
        <w:t xml:space="preserve">, poz. </w:t>
      </w:r>
      <w:r w:rsidR="00C2499D">
        <w:rPr>
          <w:rFonts w:ascii="Arial" w:eastAsia="Times New Roman" w:hAnsi="Arial" w:cs="Arial"/>
          <w:lang w:eastAsia="pl-PL"/>
        </w:rPr>
        <w:t>779</w:t>
      </w:r>
      <w:r w:rsidRPr="00C2499D">
        <w:rPr>
          <w:rFonts w:ascii="Arial" w:eastAsia="Times New Roman" w:hAnsi="Arial" w:cs="Arial"/>
          <w:lang w:eastAsia="pl-PL"/>
        </w:rPr>
        <w:t>).</w:t>
      </w:r>
    </w:p>
    <w:p w14:paraId="572FA2E8" w14:textId="77777777" w:rsidR="00C2499D" w:rsidRDefault="00C2499D" w:rsidP="00C2499D">
      <w:pPr>
        <w:spacing w:after="0" w:line="300" w:lineRule="auto"/>
        <w:jc w:val="both"/>
        <w:rPr>
          <w:rFonts w:ascii="Arial" w:eastAsia="Times New Roman" w:hAnsi="Arial" w:cs="Arial"/>
          <w:lang w:eastAsia="pl-PL"/>
        </w:rPr>
      </w:pPr>
    </w:p>
    <w:p w14:paraId="720999D9" w14:textId="77777777" w:rsidR="00C2499D" w:rsidRDefault="00C2499D" w:rsidP="00C2499D">
      <w:pPr>
        <w:spacing w:after="0" w:line="300" w:lineRule="auto"/>
        <w:jc w:val="both"/>
        <w:rPr>
          <w:rFonts w:ascii="Arial" w:eastAsia="Times New Roman" w:hAnsi="Arial" w:cs="Arial"/>
          <w:lang w:eastAsia="pl-PL"/>
        </w:rPr>
      </w:pPr>
      <w:r w:rsidRPr="00C2499D">
        <w:rPr>
          <w:rFonts w:ascii="Arial" w:eastAsia="Times New Roman" w:hAnsi="Arial" w:cs="Arial"/>
          <w:lang w:eastAsia="pl-PL"/>
        </w:rPr>
        <w:t xml:space="preserve">Zgodnie z deklaracją projektodawcy wyrażoną w uzasadnieniu do projektu przedłożonej ustawy w akcie tym przewiduje się: „wprowadzenie regulacji spełniających postulaty, zgłaszane przez podatników, w zakresie nowych obowiązków ewidencyjnych JPK na gruncie podatku PIT oraz CIT. Proponowane rozwiązania zakładają korzystne dla podatników rozwiązania w zakresie wydłużenia terminu przesyłania ksiąg rachunkowych na gruncie przepisów o podatkach dochodowych oraz w odniesieniu do pełnomocnictwa do podpisywania deklaracji (UPL) – objęcie tym pełnomocnictwem również przypadków podpisywania ksiąg podatkowych” [uzasadnienie do rządowego projektu ustawy o zmianie ustawy o podatku dochodowym od osób fizycznych, ustawy o podatku dochodowym od osób prawnych oraz ustawy o zryczałtowanym podatku dochodowym od niektórych przychodów osiąganych przez osoby fizyczne, druk sejmowy nr 2445, s. 1]. Nowelizacja wprowadza zmiany w: ustawie z dnia </w:t>
      </w:r>
      <w:r w:rsidRPr="00C2499D">
        <w:rPr>
          <w:rFonts w:ascii="Arial" w:eastAsia="Times New Roman" w:hAnsi="Arial" w:cs="Arial"/>
          <w:lang w:eastAsia="pl-PL"/>
        </w:rPr>
        <w:lastRenderedPageBreak/>
        <w:t xml:space="preserve">26 lipca 1991 r. o podatku dochodowym od osób fizycznych (Dz. U. z 2026 r. poz. 592), ustawie z dnia 15 lutego 1992 r. o podatku dochodowym od osób prawnych (Dz. U. z 2026 r. poz. 554) oraz w ustawie z dnia 20 listopada 1998 r. o zryczałtowanym podatku dochodowym od niektórych przychodów osiąganych przez osoby fizyczne (Dz. U. z 2025 r. poz. 843). </w:t>
      </w:r>
    </w:p>
    <w:p w14:paraId="02E1FC4C" w14:textId="77777777" w:rsidR="00C2499D" w:rsidRDefault="00C2499D" w:rsidP="00C2499D">
      <w:pPr>
        <w:spacing w:after="0" w:line="300" w:lineRule="auto"/>
        <w:jc w:val="both"/>
        <w:rPr>
          <w:rFonts w:ascii="Arial" w:eastAsia="Times New Roman" w:hAnsi="Arial" w:cs="Arial"/>
          <w:lang w:eastAsia="pl-PL"/>
        </w:rPr>
      </w:pPr>
      <w:r w:rsidRPr="00C2499D">
        <w:rPr>
          <w:rFonts w:ascii="Arial" w:eastAsia="Times New Roman" w:hAnsi="Arial" w:cs="Arial"/>
          <w:lang w:eastAsia="pl-PL"/>
        </w:rPr>
        <w:t xml:space="preserve">Pierwsza grupa zmian polega na wydłużeniu terminu na zrealizowanie obowiązku przesłania właściwemu naczelnikowi urzędu skarbowego ksiąg rachunkowych przez podatników podatku dochodowego. W przypadku określonych w ustawie podatników podatku dochodowego od osób fizycznych nowy termin to 31 lipca po zakończeniu roku podatkowego (w aktualnym stanie prawnym terminem tym jest dzień upływu terminu na złożenie zeznania podatkowego, czyli 30 kwietnia roku następującego po roku podatkowym). W przypadku podatników podatku dochodowego od osób prawnych ustawa przewiduje przesunięcie terminu przesyłania ksiąg rachunkowych na podstawie art. 9 ust. 1c oraz ust. 1e ustawy o podatku dochodowym od osób prawnych do końca siódmego miesiąca po zakończeniu roku podatkowego lub obrotowego (w obecnym stanie prawnym termin ten jest wyznaczony na koniec trzeciego miesiąca następnego roku podatkowego lub obrotowego).  </w:t>
      </w:r>
    </w:p>
    <w:p w14:paraId="275036AA" w14:textId="77777777" w:rsidR="00C2499D" w:rsidRDefault="00C2499D" w:rsidP="00C2499D">
      <w:pPr>
        <w:spacing w:after="0" w:line="300" w:lineRule="auto"/>
        <w:jc w:val="both"/>
        <w:rPr>
          <w:rFonts w:ascii="Arial" w:eastAsia="Times New Roman" w:hAnsi="Arial" w:cs="Arial"/>
          <w:lang w:eastAsia="pl-PL"/>
        </w:rPr>
      </w:pPr>
      <w:r w:rsidRPr="00C2499D">
        <w:rPr>
          <w:rFonts w:ascii="Arial" w:eastAsia="Times New Roman" w:hAnsi="Arial" w:cs="Arial"/>
          <w:lang w:eastAsia="pl-PL"/>
        </w:rPr>
        <w:t xml:space="preserve">Druga grupa zmian polega na ustanowieniu regulacji, w myśl których pełnomocnictwo do podpisywania deklaracji składanej za pomocą środków komunikacji elektronicznej obejmuje również upoważnienie do podpisywania: </w:t>
      </w:r>
    </w:p>
    <w:p w14:paraId="064EC25F" w14:textId="1DFC4731" w:rsidR="00C2499D" w:rsidRPr="00C2499D" w:rsidRDefault="00C2499D" w:rsidP="00C2499D">
      <w:pPr>
        <w:pStyle w:val="Akapitzlist"/>
        <w:numPr>
          <w:ilvl w:val="0"/>
          <w:numId w:val="17"/>
        </w:numPr>
        <w:spacing w:after="0" w:line="300" w:lineRule="auto"/>
        <w:ind w:left="567" w:hanging="283"/>
        <w:jc w:val="both"/>
        <w:rPr>
          <w:rFonts w:ascii="Arial" w:eastAsia="Times New Roman" w:hAnsi="Arial" w:cs="Arial"/>
          <w:lang w:eastAsia="pl-PL"/>
        </w:rPr>
      </w:pPr>
      <w:r w:rsidRPr="00C2499D">
        <w:rPr>
          <w:rFonts w:ascii="Arial" w:eastAsia="Times New Roman" w:hAnsi="Arial" w:cs="Arial"/>
          <w:lang w:eastAsia="pl-PL"/>
        </w:rPr>
        <w:t xml:space="preserve">podatkowej księgi przychodów i rozchodów, ksiąg rachunkowych, a także ewidencji środków trwałych oraz wartości niematerialnych i prawnych, przesyłanych właściwemu naczelnikowi urzędu skarbowego na podstawie ustawy o podatku dochodowym od osób fizycznych; </w:t>
      </w:r>
    </w:p>
    <w:p w14:paraId="4C93E8EA" w14:textId="6FF5D1A7" w:rsidR="00C2499D" w:rsidRPr="00C2499D" w:rsidRDefault="00C2499D" w:rsidP="00C2499D">
      <w:pPr>
        <w:pStyle w:val="Akapitzlist"/>
        <w:numPr>
          <w:ilvl w:val="0"/>
          <w:numId w:val="17"/>
        </w:numPr>
        <w:spacing w:after="0" w:line="300" w:lineRule="auto"/>
        <w:ind w:left="567" w:hanging="283"/>
        <w:jc w:val="both"/>
        <w:rPr>
          <w:rFonts w:ascii="Arial" w:eastAsia="Times New Roman" w:hAnsi="Arial" w:cs="Arial"/>
          <w:lang w:eastAsia="pl-PL"/>
        </w:rPr>
      </w:pPr>
      <w:r w:rsidRPr="00C2499D">
        <w:rPr>
          <w:rFonts w:ascii="Arial" w:eastAsia="Times New Roman" w:hAnsi="Arial" w:cs="Arial"/>
          <w:lang w:eastAsia="pl-PL"/>
        </w:rPr>
        <w:t xml:space="preserve">ksiąg rachunkowych przesyłanych właściwemu naczelnikowi urzędu skarbowego na podstawie ustawy o podatku dochodowym od osób prawnych; </w:t>
      </w:r>
    </w:p>
    <w:p w14:paraId="04A04AA7" w14:textId="155A8E23" w:rsidR="00C2499D" w:rsidRPr="00C2499D" w:rsidRDefault="00C2499D" w:rsidP="00C2499D">
      <w:pPr>
        <w:pStyle w:val="Akapitzlist"/>
        <w:numPr>
          <w:ilvl w:val="0"/>
          <w:numId w:val="17"/>
        </w:numPr>
        <w:spacing w:after="0" w:line="300" w:lineRule="auto"/>
        <w:ind w:left="567" w:hanging="283"/>
        <w:jc w:val="both"/>
        <w:rPr>
          <w:rFonts w:ascii="Arial" w:eastAsia="Times New Roman" w:hAnsi="Arial" w:cs="Arial"/>
          <w:lang w:eastAsia="pl-PL"/>
        </w:rPr>
      </w:pPr>
      <w:r w:rsidRPr="00C2499D">
        <w:rPr>
          <w:rFonts w:ascii="Arial" w:eastAsia="Times New Roman" w:hAnsi="Arial" w:cs="Arial"/>
          <w:lang w:eastAsia="pl-PL"/>
        </w:rPr>
        <w:t xml:space="preserve">ewidencji przychodów, a także wykazu środków trwałych oraz wartości niematerialnych i prawnych, przesyłanych właściwemu naczelnikowi urzędu skarbowego na podstawie ustawy o zryczałtowanym podatku dochodowym od niektórych przychodów osiąganych przez osoby fizyczne. </w:t>
      </w:r>
    </w:p>
    <w:p w14:paraId="4AA429E1" w14:textId="77777777" w:rsidR="00C2499D" w:rsidRDefault="00C2499D" w:rsidP="00C2499D">
      <w:pPr>
        <w:spacing w:after="0" w:line="300" w:lineRule="auto"/>
        <w:jc w:val="both"/>
        <w:rPr>
          <w:rFonts w:ascii="Arial" w:eastAsia="Times New Roman" w:hAnsi="Arial" w:cs="Arial"/>
          <w:lang w:eastAsia="pl-PL"/>
        </w:rPr>
      </w:pPr>
      <w:r w:rsidRPr="00C2499D">
        <w:rPr>
          <w:rFonts w:ascii="Arial" w:eastAsia="Times New Roman" w:hAnsi="Arial" w:cs="Arial"/>
          <w:lang w:eastAsia="pl-PL"/>
        </w:rPr>
        <w:t xml:space="preserve">Z dniem wejścia w życie projektowanych przepisów będzie możliwe podpisywanie ksiąg podatkowych w podatkach dochodowych w oparciu o pełnomocnictwo do podpisywania deklaracji składanej za pomocą środków komunikacji elektronicznej (UPL-1). W treści uzasadnienia podkreśla się, że będzie to możliwe również na podstawie pełnomocnictw ustanowionych przed dniem wejścia w życie nowych regulacji. Ustawa wprowadza również zmiany redakcyjne dotyczące używanego w liczbie pojedynczej terminu „księga”, które oznacza podatkową księgę przychodów i rozchodów.  </w:t>
      </w:r>
    </w:p>
    <w:p w14:paraId="47D9C7A7" w14:textId="77777777" w:rsidR="00C2499D" w:rsidRDefault="00C2499D" w:rsidP="00C2499D">
      <w:pPr>
        <w:spacing w:after="0" w:line="300" w:lineRule="auto"/>
        <w:jc w:val="both"/>
        <w:rPr>
          <w:rFonts w:ascii="Arial" w:eastAsia="Times New Roman" w:hAnsi="Arial" w:cs="Arial"/>
          <w:lang w:eastAsia="pl-PL"/>
        </w:rPr>
      </w:pPr>
    </w:p>
    <w:p w14:paraId="7B66C62B" w14:textId="5F59933C" w:rsidR="00C2499D" w:rsidRDefault="00C2499D" w:rsidP="00C2499D">
      <w:pPr>
        <w:spacing w:after="0" w:line="300" w:lineRule="auto"/>
        <w:jc w:val="both"/>
        <w:rPr>
          <w:rStyle w:val="markedcontent"/>
          <w:rFonts w:ascii="Arial" w:hAnsi="Arial" w:cs="Arial"/>
        </w:rPr>
      </w:pPr>
      <w:r w:rsidRPr="00C2499D">
        <w:rPr>
          <w:rFonts w:ascii="Arial" w:eastAsia="Times New Roman" w:hAnsi="Arial" w:cs="Arial"/>
          <w:lang w:eastAsia="pl-PL"/>
        </w:rPr>
        <w:t>Ustawa w</w:t>
      </w:r>
      <w:r>
        <w:rPr>
          <w:rFonts w:ascii="Arial" w:eastAsia="Times New Roman" w:hAnsi="Arial" w:cs="Arial"/>
          <w:lang w:eastAsia="pl-PL"/>
        </w:rPr>
        <w:t>eszła</w:t>
      </w:r>
      <w:r w:rsidRPr="00C2499D">
        <w:rPr>
          <w:rFonts w:ascii="Arial" w:eastAsia="Times New Roman" w:hAnsi="Arial" w:cs="Arial"/>
          <w:lang w:eastAsia="pl-PL"/>
        </w:rPr>
        <w:t xml:space="preserve"> w życie z dniem 1 lipca 2026 r., z wyjątkiem art. 1 pkt 7, art. 2 pkt 1 lit. c i art. 3, które w</w:t>
      </w:r>
      <w:r>
        <w:rPr>
          <w:rFonts w:ascii="Arial" w:eastAsia="Times New Roman" w:hAnsi="Arial" w:cs="Arial"/>
          <w:lang w:eastAsia="pl-PL"/>
        </w:rPr>
        <w:t>eszły</w:t>
      </w:r>
      <w:r w:rsidRPr="00C2499D">
        <w:rPr>
          <w:rFonts w:ascii="Arial" w:eastAsia="Times New Roman" w:hAnsi="Arial" w:cs="Arial"/>
          <w:lang w:eastAsia="pl-PL"/>
        </w:rPr>
        <w:t xml:space="preserve"> w życie z dniem następującym po dniu ogłoszenia.</w:t>
      </w:r>
    </w:p>
    <w:p w14:paraId="2EF6F3D7" w14:textId="77777777" w:rsidR="00BD54B9" w:rsidRDefault="00BD54B9" w:rsidP="00BD54B9">
      <w:pPr>
        <w:spacing w:after="0" w:line="300" w:lineRule="auto"/>
        <w:jc w:val="both"/>
        <w:rPr>
          <w:rFonts w:ascii="Arial" w:hAnsi="Arial" w:cs="Arial"/>
        </w:rPr>
      </w:pPr>
    </w:p>
    <w:p w14:paraId="6C67E378" w14:textId="7A886269" w:rsidR="00871E4C" w:rsidRDefault="00871E4C" w:rsidP="00871E4C">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871E4C">
        <w:rPr>
          <w:rFonts w:ascii="Arial" w:eastAsia="Times New Roman" w:hAnsi="Arial" w:cs="Arial"/>
          <w:b/>
          <w:bCs/>
          <w:u w:val="single"/>
          <w:lang w:eastAsia="pl-PL"/>
        </w:rPr>
        <w:t>Ustawa z dnia 29 maja 2026 r. o zmianie ustawy – Ordynacja podatkowa</w:t>
      </w:r>
      <w:r>
        <w:rPr>
          <w:rFonts w:ascii="Arial" w:eastAsia="Times New Roman" w:hAnsi="Arial" w:cs="Arial"/>
          <w:b/>
          <w:bCs/>
          <w:u w:val="single"/>
          <w:lang w:eastAsia="pl-PL"/>
        </w:rPr>
        <w:t>.</w:t>
      </w:r>
    </w:p>
    <w:p w14:paraId="3DC4505A" w14:textId="77777777" w:rsidR="00871E4C" w:rsidRPr="00871E4C" w:rsidRDefault="00871E4C" w:rsidP="00871E4C">
      <w:pPr>
        <w:spacing w:after="0" w:line="300" w:lineRule="auto"/>
        <w:jc w:val="both"/>
        <w:rPr>
          <w:rFonts w:ascii="Arial" w:eastAsia="Times New Roman" w:hAnsi="Arial" w:cs="Arial"/>
          <w:lang w:eastAsia="pl-PL"/>
        </w:rPr>
      </w:pPr>
    </w:p>
    <w:p w14:paraId="34854C78" w14:textId="2436A25D" w:rsidR="00871E4C" w:rsidRDefault="00871E4C" w:rsidP="00871E4C">
      <w:pPr>
        <w:spacing w:after="0" w:line="300" w:lineRule="auto"/>
        <w:jc w:val="both"/>
        <w:rPr>
          <w:rFonts w:ascii="Arial" w:eastAsia="Times New Roman" w:hAnsi="Arial" w:cs="Arial"/>
          <w:lang w:eastAsia="pl-PL"/>
        </w:rPr>
      </w:pPr>
      <w:r w:rsidRPr="00871E4C">
        <w:rPr>
          <w:rFonts w:ascii="Arial" w:eastAsia="Times New Roman" w:hAnsi="Arial" w:cs="Arial"/>
          <w:lang w:eastAsia="pl-PL"/>
        </w:rPr>
        <w:t>Powyższy akt prawny ogłoszony został 2</w:t>
      </w:r>
      <w:r>
        <w:rPr>
          <w:rFonts w:ascii="Arial" w:eastAsia="Times New Roman" w:hAnsi="Arial" w:cs="Arial"/>
          <w:lang w:eastAsia="pl-PL"/>
        </w:rPr>
        <w:t>3</w:t>
      </w:r>
      <w:r w:rsidRPr="00871E4C">
        <w:rPr>
          <w:rFonts w:ascii="Arial" w:eastAsia="Times New Roman" w:hAnsi="Arial" w:cs="Arial"/>
          <w:lang w:eastAsia="pl-PL"/>
        </w:rPr>
        <w:t xml:space="preserve"> czerwca 2026 roku w Dzienniku Ustaw (Dz.U. z 2026, poz. 8</w:t>
      </w:r>
      <w:r>
        <w:rPr>
          <w:rFonts w:ascii="Arial" w:eastAsia="Times New Roman" w:hAnsi="Arial" w:cs="Arial"/>
          <w:lang w:eastAsia="pl-PL"/>
        </w:rPr>
        <w:t>25</w:t>
      </w:r>
      <w:r w:rsidRPr="00871E4C">
        <w:rPr>
          <w:rFonts w:ascii="Arial" w:eastAsia="Times New Roman" w:hAnsi="Arial" w:cs="Arial"/>
          <w:lang w:eastAsia="pl-PL"/>
        </w:rPr>
        <w:t>).</w:t>
      </w:r>
    </w:p>
    <w:p w14:paraId="0EED518B" w14:textId="77777777" w:rsidR="00871E4C" w:rsidRDefault="00871E4C" w:rsidP="00871E4C">
      <w:pPr>
        <w:spacing w:after="0" w:line="300" w:lineRule="auto"/>
        <w:jc w:val="both"/>
        <w:rPr>
          <w:rFonts w:ascii="Arial" w:eastAsia="Times New Roman" w:hAnsi="Arial" w:cs="Arial"/>
          <w:lang w:eastAsia="pl-PL"/>
        </w:rPr>
      </w:pPr>
    </w:p>
    <w:p w14:paraId="01EEEE44"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lastRenderedPageBreak/>
        <w:t xml:space="preserve">Ustawa wprowadza zmiany w ustawie z dnia 29 sierpnia 1997 r. – Ordynacja podatkowa (Dz. U. z 2026 r. poz. 622). Zasadniczym celem nowelizacji jest stworzenie podstaw prawnych do uwzględnienia w obecnie funkcjonującej, jednorodnej i ogólnodostępnej bazie interpretacji podatkowych także interpretacji wydawanych przez samorządowe organy podatkowe (wójtów, burmistrzów, prezydentów miast) w zakresie podatków i opłat pozostających w ich właściwości. </w:t>
      </w:r>
    </w:p>
    <w:p w14:paraId="53019A1A"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 xml:space="preserve">W myśl przepisów dodawanych w drodze przedłożonej nowelizacji wójt, burmistrz (prezydent miasta), starosta i marszałek województwa niezwłocznie przekazują na adres do doręczeń elektronicznych Dyrektora Krajowej Informacji Skarbowej: </w:t>
      </w:r>
    </w:p>
    <w:p w14:paraId="2F3B7B05"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 xml:space="preserve">1)     interpretacje indywidualne wydane przez te organy oraz informacje dotyczące tych interpretacji indywidualnych – w celu ich zamieszczenia w Biuletynie Informacji Publicznej na stronie podmiotowej urzędu obsługującego ministra właściwego do spraw finansów publicznych; </w:t>
      </w:r>
    </w:p>
    <w:p w14:paraId="33E85966"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 xml:space="preserve">2)     informacje dodatkowe o interpretacjach indywidualnych opisujące te interpretacje indywidualne przez wskazanie tytułu interpretacji indywidualnej, zagadnienia nią objętego, słów kluczowych w niej użytych i przywołanych w niej przepisów prawa – w celu umożliwienia wyszukania tych interpretacji indywidualnych w Biuletynie Informacji Publicznej na stronie podmiotowej urzędu obsługującego ministra właściwego do spraw finansów publicznych; </w:t>
      </w:r>
    </w:p>
    <w:p w14:paraId="54261765"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 xml:space="preserve">3)     ostateczne postanowienia o uchyleniu lub stwierdzeniu wygaśnięcia interpretacji indywidualnych – w celu weryfikacji informacji o uchyleniu lub stwierdzeniu wygaśnięcia tych interpretacji indywidualnych, które mają zostać zamieszczone w Biuletynie Informacji Publicznej na stronie podmiotowej urzędu obsługującego ministra właściwego do spraw finansów publicznych. </w:t>
      </w:r>
    </w:p>
    <w:p w14:paraId="79232535"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 xml:space="preserve">Minister właściwy do spraw finansów publicznych został zobowiązany do udostępnienia w Biuletynie Informacji Publicznej na stronie podmiotowej urzędu obsługującego tego ministra warunków technicznych dotyczących przekazywania wyżej wskazanych dokumentów oraz wzoru formularza służącego do przekazywania wymaganych informacji.  </w:t>
      </w:r>
    </w:p>
    <w:p w14:paraId="37A83168" w14:textId="3A87958A"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W myśl przepisów przejściowych przepisy statuujące obowiązek przekazywania interpretacji wydawanych przez organy samorządowe w celu ich zamieszczenia w centralnej bazie stosuje się również do interpretacji indywidualnych wydanych przez wójta, burmistrza (prezydenta miasta), starostę i marszałka województwa w okresie od dnia 1 stycznia 2025 r. do dnia poprzedzającego dzień wejścia w życie niniejszej ustawy oraz do informacji i postanowień dotyczących tych interpretacji indywidualnych. W odniesieniu do obowiązku przekazywania interpretacji wydanych przed wejściem w życie nowelizacji, wprowadzono dwa odrębne terminy. I tak, interpretacje wydane w okresie od dnia 1 stycznia 2025 r. do dnia 30 czerwca 2025 r. powinny być przekazane Dyrektorowi Krajowej Informacji Skarbowej najpóźniej w terminie do dnia 31 października 2026 r. Natomiast interpretacje wydane w okresie od dnia 1 lipca 2025 r. do dnia poprzedzającego dzień wejścia w życie ustawy powinny być przekazane Dyrektorowi Krajowej Informacji Skarbowej najpóźniej w terminie do dnia 31 grudnia 2026 r. Dyrektor Krajowej Informacji Skarbowej będzie miał czas na opublikowanie tych interpretacji w systemie EUREKA najpóźniej do dnia 31 marca 2027 r. Powyższe zasady publikacji będą analogicznie stosowane do informacji dotyczących interpretacji wydanych od początku 2025 r</w:t>
      </w:r>
      <w:r>
        <w:rPr>
          <w:rFonts w:ascii="Arial" w:eastAsia="Times New Roman" w:hAnsi="Arial" w:cs="Arial"/>
          <w:lang w:eastAsia="pl-PL"/>
        </w:rPr>
        <w:t>oku</w:t>
      </w:r>
      <w:r w:rsidRPr="005C4460">
        <w:rPr>
          <w:rFonts w:ascii="Arial" w:eastAsia="Times New Roman" w:hAnsi="Arial" w:cs="Arial"/>
          <w:lang w:eastAsia="pl-PL"/>
        </w:rPr>
        <w:t xml:space="preserve">. </w:t>
      </w:r>
    </w:p>
    <w:p w14:paraId="27527BFA" w14:textId="77777777" w:rsidR="005C4460"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lastRenderedPageBreak/>
        <w:t xml:space="preserve">Do interpretacji indywidualnych wydanych przez wójta, burmistrza (prezydenta miasta), starostę i marszałka województwa do dnia 31 grudnia 2024 r. oraz do informacji i postanowień dotyczących tych interpretacji indywidualnych zastosowanie znajdą przepisy dotychczasowe. </w:t>
      </w:r>
    </w:p>
    <w:p w14:paraId="7CCAD47A" w14:textId="77777777" w:rsidR="005C4460" w:rsidRDefault="005C4460" w:rsidP="00871E4C">
      <w:pPr>
        <w:spacing w:after="0" w:line="300" w:lineRule="auto"/>
        <w:jc w:val="both"/>
        <w:rPr>
          <w:rFonts w:ascii="Arial" w:eastAsia="Times New Roman" w:hAnsi="Arial" w:cs="Arial"/>
          <w:lang w:eastAsia="pl-PL"/>
        </w:rPr>
      </w:pPr>
    </w:p>
    <w:p w14:paraId="4DE4B69C" w14:textId="226AF878" w:rsidR="00871E4C" w:rsidRPr="00871E4C" w:rsidRDefault="005C4460" w:rsidP="00871E4C">
      <w:pPr>
        <w:spacing w:after="0" w:line="300" w:lineRule="auto"/>
        <w:jc w:val="both"/>
        <w:rPr>
          <w:rFonts w:ascii="Arial" w:eastAsia="Times New Roman" w:hAnsi="Arial" w:cs="Arial"/>
          <w:lang w:eastAsia="pl-PL"/>
        </w:rPr>
      </w:pPr>
      <w:r w:rsidRPr="005C4460">
        <w:rPr>
          <w:rFonts w:ascii="Arial" w:eastAsia="Times New Roman" w:hAnsi="Arial" w:cs="Arial"/>
          <w:lang w:eastAsia="pl-PL"/>
        </w:rPr>
        <w:t>Ustawa wchodzi w życie po upływie 3 miesięcy od dnia ogłoszenia.</w:t>
      </w:r>
    </w:p>
    <w:p w14:paraId="7A320C5B" w14:textId="77777777" w:rsidR="00871E4C" w:rsidRPr="00871E4C" w:rsidRDefault="00871E4C" w:rsidP="00871E4C">
      <w:pPr>
        <w:spacing w:after="0" w:line="300" w:lineRule="auto"/>
        <w:jc w:val="both"/>
        <w:rPr>
          <w:rFonts w:ascii="Arial" w:eastAsia="Times New Roman" w:hAnsi="Arial" w:cs="Arial"/>
          <w:lang w:eastAsia="pl-PL"/>
        </w:rPr>
      </w:pPr>
    </w:p>
    <w:p w14:paraId="52F5508D" w14:textId="00EF445E" w:rsidR="00BD54B9" w:rsidRPr="00F7310F" w:rsidRDefault="00F96359" w:rsidP="00BD54B9">
      <w:pPr>
        <w:pStyle w:val="Akapitzlist"/>
        <w:numPr>
          <w:ilvl w:val="0"/>
          <w:numId w:val="2"/>
        </w:numPr>
        <w:spacing w:after="0" w:line="300" w:lineRule="auto"/>
        <w:ind w:left="426" w:hanging="426"/>
        <w:jc w:val="both"/>
        <w:rPr>
          <w:rFonts w:ascii="Arial" w:eastAsia="Times New Roman" w:hAnsi="Arial" w:cs="Arial"/>
          <w:b/>
          <w:bCs/>
          <w:u w:val="single"/>
          <w:lang w:eastAsia="pl-PL"/>
        </w:rPr>
      </w:pPr>
      <w:bookmarkStart w:id="5" w:name="_Hlk233982189"/>
      <w:r w:rsidRPr="00F96359">
        <w:rPr>
          <w:rFonts w:ascii="Arial" w:hAnsi="Arial" w:cs="Arial"/>
          <w:b/>
          <w:bCs/>
          <w:u w:val="single"/>
        </w:rPr>
        <w:t xml:space="preserve">Ustawa z dnia 29 maja 2026 r. o zmianie ustawy – Ordynacja podatkowa </w:t>
      </w:r>
      <w:bookmarkEnd w:id="5"/>
      <w:r w:rsidRPr="00F96359">
        <w:rPr>
          <w:rFonts w:ascii="Arial" w:hAnsi="Arial" w:cs="Arial"/>
          <w:b/>
          <w:bCs/>
          <w:u w:val="single"/>
        </w:rPr>
        <w:t>oraz niektórych innych ustaw</w:t>
      </w:r>
      <w:r w:rsidR="00BD54B9" w:rsidRPr="00F7310F">
        <w:rPr>
          <w:rFonts w:ascii="Arial" w:hAnsi="Arial" w:cs="Arial"/>
          <w:b/>
          <w:bCs/>
          <w:u w:val="single"/>
        </w:rPr>
        <w:t xml:space="preserve">. </w:t>
      </w:r>
    </w:p>
    <w:p w14:paraId="2F5EE9F4" w14:textId="77777777" w:rsidR="00F7310F" w:rsidRDefault="00F7310F" w:rsidP="00F7310F">
      <w:pPr>
        <w:spacing w:after="0" w:line="300" w:lineRule="auto"/>
        <w:jc w:val="both"/>
        <w:rPr>
          <w:rFonts w:ascii="Arial" w:eastAsia="Times New Roman" w:hAnsi="Arial" w:cs="Arial"/>
          <w:lang w:eastAsia="pl-PL"/>
        </w:rPr>
      </w:pPr>
    </w:p>
    <w:p w14:paraId="28201C12" w14:textId="41F2A95D" w:rsidR="00BD54B9" w:rsidRPr="00287656" w:rsidRDefault="00BD54B9" w:rsidP="00F7310F">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F7310F">
        <w:rPr>
          <w:rFonts w:ascii="Arial" w:eastAsia="Times New Roman" w:hAnsi="Arial" w:cs="Arial"/>
          <w:lang w:eastAsia="pl-PL"/>
        </w:rPr>
        <w:t>2</w:t>
      </w:r>
      <w:r w:rsidR="00F96359">
        <w:rPr>
          <w:rFonts w:ascii="Arial" w:eastAsia="Times New Roman" w:hAnsi="Arial" w:cs="Arial"/>
          <w:lang w:eastAsia="pl-PL"/>
        </w:rPr>
        <w:t>5</w:t>
      </w:r>
      <w:r w:rsidR="00F7310F">
        <w:rPr>
          <w:rFonts w:ascii="Arial" w:eastAsia="Times New Roman" w:hAnsi="Arial" w:cs="Arial"/>
          <w:lang w:eastAsia="pl-PL"/>
        </w:rPr>
        <w:t xml:space="preserve"> czerwca</w:t>
      </w:r>
      <w:r w:rsidRPr="00287656">
        <w:rPr>
          <w:rFonts w:ascii="Arial" w:eastAsia="Times New Roman" w:hAnsi="Arial" w:cs="Arial"/>
          <w:lang w:eastAsia="pl-PL"/>
        </w:rPr>
        <w:t xml:space="preserve"> 20</w:t>
      </w:r>
      <w:r>
        <w:rPr>
          <w:rFonts w:ascii="Arial" w:eastAsia="Times New Roman" w:hAnsi="Arial" w:cs="Arial"/>
          <w:lang w:eastAsia="pl-PL"/>
        </w:rPr>
        <w:t>2</w:t>
      </w:r>
      <w:r w:rsidR="00F7310F">
        <w:rPr>
          <w:rFonts w:ascii="Arial" w:eastAsia="Times New Roman" w:hAnsi="Arial" w:cs="Arial"/>
          <w:lang w:eastAsia="pl-PL"/>
        </w:rPr>
        <w:t>6</w:t>
      </w:r>
      <w:r w:rsidRPr="00287656">
        <w:rPr>
          <w:rFonts w:ascii="Arial" w:eastAsia="Times New Roman" w:hAnsi="Arial" w:cs="Arial"/>
          <w:lang w:eastAsia="pl-PL"/>
        </w:rPr>
        <w:t xml:space="preserve"> roku w Dzienniku Ustaw (Dz.U. z 202</w:t>
      </w:r>
      <w:r w:rsidR="00F7310F">
        <w:rPr>
          <w:rFonts w:ascii="Arial" w:eastAsia="Times New Roman" w:hAnsi="Arial" w:cs="Arial"/>
          <w:lang w:eastAsia="pl-PL"/>
        </w:rPr>
        <w:t>6</w:t>
      </w:r>
      <w:r w:rsidRPr="00287656">
        <w:rPr>
          <w:rFonts w:ascii="Arial" w:eastAsia="Times New Roman" w:hAnsi="Arial" w:cs="Arial"/>
          <w:lang w:eastAsia="pl-PL"/>
        </w:rPr>
        <w:t xml:space="preserve">, poz. </w:t>
      </w:r>
      <w:r w:rsidR="00F96359">
        <w:rPr>
          <w:rFonts w:ascii="Arial" w:eastAsia="Times New Roman" w:hAnsi="Arial" w:cs="Arial"/>
          <w:lang w:eastAsia="pl-PL"/>
        </w:rPr>
        <w:t>846</w:t>
      </w:r>
      <w:r w:rsidRPr="00287656">
        <w:rPr>
          <w:rFonts w:ascii="Arial" w:eastAsia="Times New Roman" w:hAnsi="Arial" w:cs="Arial"/>
          <w:lang w:eastAsia="pl-PL"/>
        </w:rPr>
        <w:t>).</w:t>
      </w:r>
    </w:p>
    <w:p w14:paraId="6B5BBEBC" w14:textId="77777777" w:rsidR="00F7310F" w:rsidRDefault="00F7310F" w:rsidP="00F7310F">
      <w:pPr>
        <w:spacing w:after="0" w:line="300" w:lineRule="auto"/>
        <w:jc w:val="both"/>
        <w:rPr>
          <w:rFonts w:ascii="Arial" w:eastAsia="Times New Roman" w:hAnsi="Arial" w:cs="Arial"/>
          <w:lang w:eastAsia="pl-PL"/>
        </w:rPr>
      </w:pPr>
    </w:p>
    <w:p w14:paraId="32292F5C"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Zgodnie z deklaracją projektodawcy zasadniczym celem przedłożonej ustawy jest poprawa relacji między podatnikami i organami podatkowymi, zwiększenie efektywności działania organów podatkowych oraz doprecyzowanie przepisów, których stosowanie budzi wątpliwości.  </w:t>
      </w:r>
    </w:p>
    <w:p w14:paraId="40D1531A"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Ustawa wprowadza zmiany w: ustawie z dnia 29 sierpnia 1997 r. – Ordynacja podatkowa (Dz. U. z 2026 r. poz. 622), ustawie z dnia 26 maja 1982 r. – Prawo o adwokaturze (Dz. U. z 2024 r. poz. 1564, z 2025 r. poz. 1172 oraz z 2026 r. poz. 370), ustawie z dnia 6 lipca 1982 r. o radcach prawnych (Dz. U. z 2024 r. poz. 499, z 2025 r. poz. 1172 oraz z 2026 r. poz. 370), ustawie z dnia 26 lipca 1991 r. o podatku dochodowym od osób fizycznych (Dz. U. z 2026 r. poz. 592), ustawie z dnia 15 lutego 1992 r. o podatku dochodowym od osób prawnych (Dz. U. z 2026 r. poz. 554), ustawie z dnia 5 lipca 1996 r. o doradztwie podatkowym (Dz. U. z 2021 r. poz. 2117, z 2025 r. poz. 1882 oraz z 2026 r. poz. 176), ustawie z dnia 29 sierpnia 1997 r. – Prawo bankowe (Dz. U. z 2026 r. poz. 38, 176, 331, 340 i 644), ustawie z dnia 10 września 1999 r. – Kodeks karny skarbowy (Dz. U. z 2025 r. poz. 633 oraz z 2026 r. poz. 347 i 421), ustawie z dnia 11 kwietnia 2001 r. o rzecznikach patentowych (Dz. U. z 2024 r. poz. 749, z 2025 r. poz. 1172 i 1679 oraz z 2026 r. poz. 176), ustawie z dnia 30 sierpnia 2002 r. – Prawo o postępowaniu przed sądami administracyjnymi (Dz. U. z 2026 r. poz. 143), ustawie z dnia 11 marca 2004 r. o podatku od towarów i usług (Dz. U. z 2025 r. poz. 775, z </w:t>
      </w:r>
      <w:proofErr w:type="spellStart"/>
      <w:r w:rsidRPr="00F7310F">
        <w:rPr>
          <w:rFonts w:ascii="Arial" w:eastAsia="Times New Roman" w:hAnsi="Arial" w:cs="Arial"/>
          <w:lang w:eastAsia="pl-PL"/>
        </w:rPr>
        <w:t>późn</w:t>
      </w:r>
      <w:proofErr w:type="spellEnd"/>
      <w:r w:rsidRPr="00F7310F">
        <w:rPr>
          <w:rFonts w:ascii="Arial" w:eastAsia="Times New Roman" w:hAnsi="Arial" w:cs="Arial"/>
          <w:lang w:eastAsia="pl-PL"/>
        </w:rPr>
        <w:t xml:space="preserve">. zm.), ustawie z dnia 27 maja 2004 r. o funduszach inwestycyjnych i zarządzaniu alternatywnymi funduszami inwestycyjnymi (Dz. U. z 2026 r. poz. 60, 176, 484 i 644), ustawie z dnia 29 lipca 2005 r. o obrocie instrumentami finansowymi (Dz. U. z 2024 r. poz. 722, z </w:t>
      </w:r>
      <w:proofErr w:type="spellStart"/>
      <w:r w:rsidRPr="00F7310F">
        <w:rPr>
          <w:rFonts w:ascii="Arial" w:eastAsia="Times New Roman" w:hAnsi="Arial" w:cs="Arial"/>
          <w:lang w:eastAsia="pl-PL"/>
        </w:rPr>
        <w:t>późn</w:t>
      </w:r>
      <w:proofErr w:type="spellEnd"/>
      <w:r w:rsidRPr="00F7310F">
        <w:rPr>
          <w:rFonts w:ascii="Arial" w:eastAsia="Times New Roman" w:hAnsi="Arial" w:cs="Arial"/>
          <w:lang w:eastAsia="pl-PL"/>
        </w:rPr>
        <w:t xml:space="preserve">. zm.), ustawie z dnia 16 listopada 2006 r. o opłacie skarbowej (Dz. U. z 2025 r. poz. 1154, 1795 i 1847), ustawie z dnia 6 grudnia 2008 r. o podatku akcyzowym (Dz. U. z 2026 r. poz. 412 i 414), ustawie z dnia 5 listopada 2009 r. o spółdzielczych kasach oszczędnościowo-kredytowych (Dz. U. z 2026 r. poz. 595)  ustawie z dnia 11 września 2015 r. o działalności ubezpieczeniowej i reasekuracyjnej (Dz. U. z 2025 r. poz. 1526 oraz z 2026 r. poz. 176 i 644), ustawie z dnia 16 listopada 2016 r. o Krajowej Administracji Skarbowej (Dz. U. z 2025 r. poz. 1131, 1423, 1820 i 1863 oraz z 2026 r. poz. 415 i 483) oraz w ustawie z dnia 9 marca 2017 r. o wymianie informacji podatkowych z innymi państwami (Dz. U. z 2025 r. poz. 1379 oraz z 2026 r. poz. 347).  </w:t>
      </w:r>
    </w:p>
    <w:p w14:paraId="472B5B92" w14:textId="1374C7C9"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Zmiany w Ordynacji podatkowej obejmują m.in.: (1) doprecyzowanie rodzaju terminu ulegającego wydłużeniu w przypadku, gdy jego koniec przypada na sobotę lub dzień </w:t>
      </w:r>
      <w:r w:rsidRPr="00F7310F">
        <w:rPr>
          <w:rFonts w:ascii="Arial" w:eastAsia="Times New Roman" w:hAnsi="Arial" w:cs="Arial"/>
          <w:lang w:eastAsia="pl-PL"/>
        </w:rPr>
        <w:lastRenderedPageBreak/>
        <w:t>ustawowo wolny od pracy tak, aby nie było wątpliwości, że przepis ten odnosi się do terminu do wykonania czynności; (2) wyłączenie możliwości wydawania interpretacji indywidualnych w zakresie raportowania schematów podatkowych; (3) zmianę zasad ustalania właściwości miejscowej organów podatkowych; (4) zmianę przesłanek wyznaczenia przez Szefa KAS i dyrektora izby administracji skarbowej organu podatkowego do prowadzenia kontroli podatkowych lub postępowań podatkowych; (5) doprecyzowanie przepisu umożliwiającego organowi podatkowemu określenie prawidłowej wysokości zwrotu podatku lub podatku naliczonego albo nadwyżki podatku naliczonego nad należnym do odliczenia w następnych okresach rozliczeniowych; (6) wprowadzenie zmiany dostosowawczej związanej z wdrożeniem integracji Platformy Usług Elektronicznych Platformy Usług Skarbowo-Celnych (PUESC) z systemem płatności BLIK; (7) określenie kolejności zaliczania wpłat dokonanych tytułem rat, na które rozłożono podatek lub zaległość podatkową wraz z odsetkami za zwłokę, oraz rat podatku; (8) podwyższenie kwoty uprawniającej do zapłaty podatku przez inny podmiot niż podatnik z 1000 do 5000 zł; (9) wprowadzenie możliwości umorzenia podatku przed terminem jego płatności; (10) zniesienie wymogu składania wniosku o stwierdzenie nadpłaty w przypadku, gdy nadpłata wynika ze skorygowanej deklaracji składanej po upływie terminu jej złożenia; (11) uzupełnienie regulacji dotyczących zwrotu podatku, terminów zwrotu nadpłaty oraz jej oprocentowania; (12) modyfikację definicji strony w postępowaniu podatkowym dotyczącym osób trzecich; (13) doprecyzowanie przepisów o doręczeniach i ich dostosowanie do zmian w ustawie o doręczeniach elektronicznych, a także przepisów o doręczaniu pism w siedzibie organu podatkowego; (14) umożliwienie wydania decyzji ustalającej zobowiązanie podatkowe w podatku od nieruchomości, podatku rolnym i podatku leśnym od osób fizycznych na podstawie danych znanych organowi podatkowemu z urzędu bez uprzedniego doręczenia postanowienia o wszczęciu postępowania; (15) wprowadzenie w postępowaniu podatkowym możliwości przesłuchania strony lub świadka przez organ podatkowy przy użyciu urządzeń technicznych pozwalających na przeprowadzenie tej czynności na odległość oraz możliwości utrwalenia obrazu lub dźwięku z przesłuchania; (16) zniesienie obowiązku podpisywania decyzji w sprawie ustalenia zobowiązania podatkowego w podatku od nieruchomości, podatku rolnym lub podatku leśnym, sporządzanych z wykorzystaniem systemu teleinformatycznego w postaci elektronicznej; (17) rezygnację z możliwości wniesienia zażalenia na postanowienie o odmowie uzupełnienia lub sprostowania decyzji; (18) zniesienie dualizmu trybów stosowanych w przypadku braków formalnych odwołania; (19) uproszczenie trybu korygowania deklaracji z urzędu przez organ podatkowy w ramach czynności sprawdzających i zwiększenie wysokości korekty z kwoty 5000 do 10 000 zł</w:t>
      </w:r>
      <w:r>
        <w:rPr>
          <w:rFonts w:ascii="Arial" w:eastAsia="Times New Roman" w:hAnsi="Arial" w:cs="Arial"/>
          <w:lang w:eastAsia="pl-PL"/>
        </w:rPr>
        <w:t>otych</w:t>
      </w:r>
      <w:r w:rsidRPr="00F7310F">
        <w:rPr>
          <w:rFonts w:ascii="Arial" w:eastAsia="Times New Roman" w:hAnsi="Arial" w:cs="Arial"/>
          <w:lang w:eastAsia="pl-PL"/>
        </w:rPr>
        <w:t xml:space="preserve">.  </w:t>
      </w:r>
    </w:p>
    <w:p w14:paraId="4CE83220"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Ustawa wprowadza również liczne zmiany przepisów rozdziału 11a działu III Ordynacji podatkowej (MDR). W treści nowelizacji określono zakres przedmiotowy tego rozdziału poprzez wskazanie, że znajduje on zastosowanie do uzgodnień dotyczących wszelkich podatków w rozumieniu prawa, z wyłączeniem podatku od wartości dodanej, w tym podatku od towarów i usług, oraz podatku akcyzowego. Do najważniejszych zmian należy usunięcie przepisów statuujących obowiązki raportowania krajowych schematów podatkowych. Istotne zmiany w zakresie MDR dotyczą również instytucji i obowiązków promotora. Nowelizacja zmienia nadto mechanizmy raportowania schematów podatkowych w przypadku występowania podmiotu, który jest obowiązany do zachowania prawnie chronionej tajemnicy </w:t>
      </w:r>
      <w:r w:rsidRPr="00F7310F">
        <w:rPr>
          <w:rFonts w:ascii="Arial" w:eastAsia="Times New Roman" w:hAnsi="Arial" w:cs="Arial"/>
          <w:lang w:eastAsia="pl-PL"/>
        </w:rPr>
        <w:lastRenderedPageBreak/>
        <w:t xml:space="preserve">zawodowej, a także doprecyzowuje regulacje dotyczące obowiązku przekazania informacji o schemacie podatkowym w przypadku kilku podmiotów obowiązanych do jej przekazania. Zmiany polegają również na dostosowaniu przepisów dotyczących zakresu danych przekazywanych w treści informacji o schemacie podatkowym i kwartalnej aktualizacji informacji.  </w:t>
      </w:r>
    </w:p>
    <w:p w14:paraId="2CFF883E"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Zmiany w ustawie o adwokaturze, ustawie o radcach prawnych, ustawie o doradztwie podatkowym oraz w ustawie o rzecznikach patentowych stanowią konsekwencję wyroku TSUE w sprawie C-694/20 i wynikającej z tego wyroku zmiany dokonanej dyrektywą DAC8 w odniesieniu do regulacji związanej z zapewnieniem prawa pośrednikom do zwolnienia z obowiązku przekazywania informacji dotyczących podlegających zgłoszeniu uzgodnień transgranicznych, jeżeli taki obowiązek zgłoszenia stanowiłby naruszenie prawniczej tajemnicy zawodowej. </w:t>
      </w:r>
    </w:p>
    <w:p w14:paraId="2CF851F3"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Zmiany w ustawie – Prawo bankowe, ustawie o funduszach inwestycyjnych i zarządzaniu alternatywnymi funduszami inwestycyjnymi, ustawie o obrocie instrumentami finansowymi, ustawie o spółdzielczych kasach oszczędnościowo-kredytowych oraz w ustawie o działalności ubezpieczeniowej i reasekuracyjnej mają na celu umożliwienie promotorom innym niż adwokat, radca prawny, doradca podatkowy lub rzecznik patentowy prawidłowego wywiązywania się z obowiązku przekazania informacji o schemacie podatkowym. </w:t>
      </w:r>
    </w:p>
    <w:p w14:paraId="597B2F9E"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Zmiany w Kodeksie karnym skarbowym polegają na wprowadzeniu odpowiedzialności karnej skarbowej za składanie po terminie: informacji o uzyskanej korzyści podatkowej lub dokonywaniu jakichkolwiek czynności będących elementem schematu podatkowego (MDR-3) oraz kwartalnej informacji o udostępnieniu schematu podatkowego standaryzowanego (MDR-4). Nowelizacja wprowadza także do Kodeksu karnego skarbowego – w ramach postępowania mandatowego – nowy rodzaj mandatu karnego, tj. mandat zaoczny. Mandatem karnym zaocznym będzie można nałożyć karę grzywny w razie stwierdzenia wykroczenia skarbowego pod nieobecność sprawcy, w wypadku gdy zachodzą określone w ustawie przesłanki. </w:t>
      </w:r>
    </w:p>
    <w:p w14:paraId="2B08E2B8"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Zmiany w ustawie o opłacie skarbowej dotyczą zasad i oprocentowania zwrotu tej opłaty. Zmiany w ustawach o podatkach dochodowych oraz w ustawie o wymianie informacji podatkowych z innymi państwami mają głównie charakter dostosowawczy. Zmiany w ustawie o podatku akcyzowym dotyczą zasad zwrotu akcyzy. Deklarowanym celem zmian w ustawie o Krajowej Administracji Skarbowej jest umożliwienie korzystania z e-Urzędu Skarbowego szerszej niż dotychczas kategorii podmiotów. W wyniku zmiany konto jednostki organizacyjnej będzie mogło być udostępniane nie tylko jednostkom organizacyjnym w ścisłym tego słowa znaczeniu, ale również organom władzy publicznej i urzędom obsługującym te organy w zakresie, w jakim organy te i urzędy nie wykonują władzy publicznej.  </w:t>
      </w:r>
    </w:p>
    <w:p w14:paraId="6ADAD0FC"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Ustawa zawiera również liczne przepisy przejściowe. </w:t>
      </w:r>
    </w:p>
    <w:p w14:paraId="22D08DC7" w14:textId="77777777" w:rsidR="00F7310F" w:rsidRDefault="00F7310F" w:rsidP="00F7310F">
      <w:pPr>
        <w:spacing w:after="0" w:line="300" w:lineRule="auto"/>
        <w:jc w:val="both"/>
        <w:rPr>
          <w:rFonts w:ascii="Arial" w:eastAsia="Times New Roman" w:hAnsi="Arial" w:cs="Arial"/>
          <w:lang w:eastAsia="pl-PL"/>
        </w:rPr>
      </w:pPr>
    </w:p>
    <w:p w14:paraId="05C052D0"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 xml:space="preserve">Ustawa wchodzi w życie z dniem 1 października 2026 r., z wyjątkiem: </w:t>
      </w:r>
    </w:p>
    <w:p w14:paraId="29A02D75" w14:textId="77777777" w:rsidR="00F7310F" w:rsidRDefault="00F7310F" w:rsidP="00F7310F">
      <w:pPr>
        <w:spacing w:after="0" w:line="300" w:lineRule="auto"/>
        <w:jc w:val="both"/>
        <w:rPr>
          <w:rFonts w:ascii="Arial" w:eastAsia="Times New Roman" w:hAnsi="Arial" w:cs="Arial"/>
          <w:lang w:eastAsia="pl-PL"/>
        </w:rPr>
      </w:pPr>
      <w:r w:rsidRPr="00F7310F">
        <w:rPr>
          <w:rFonts w:ascii="Arial" w:eastAsia="Times New Roman" w:hAnsi="Arial" w:cs="Arial"/>
          <w:lang w:eastAsia="pl-PL"/>
        </w:rPr>
        <w:t>1)</w:t>
      </w:r>
      <w:r>
        <w:rPr>
          <w:rFonts w:ascii="Arial" w:eastAsia="Times New Roman" w:hAnsi="Arial" w:cs="Arial"/>
          <w:lang w:eastAsia="pl-PL"/>
        </w:rPr>
        <w:t xml:space="preserve"> </w:t>
      </w:r>
      <w:r w:rsidRPr="00F7310F">
        <w:rPr>
          <w:rFonts w:ascii="Arial" w:eastAsia="Times New Roman" w:hAnsi="Arial" w:cs="Arial"/>
          <w:lang w:eastAsia="pl-PL"/>
        </w:rPr>
        <w:t>art. 1 pkt 9, art. 10, art. 18 pkt 1–3 i art. 34, które w</w:t>
      </w:r>
      <w:r>
        <w:rPr>
          <w:rFonts w:ascii="Arial" w:eastAsia="Times New Roman" w:hAnsi="Arial" w:cs="Arial"/>
          <w:lang w:eastAsia="pl-PL"/>
        </w:rPr>
        <w:t>eszły</w:t>
      </w:r>
      <w:r w:rsidRPr="00F7310F">
        <w:rPr>
          <w:rFonts w:ascii="Arial" w:eastAsia="Times New Roman" w:hAnsi="Arial" w:cs="Arial"/>
          <w:lang w:eastAsia="pl-PL"/>
        </w:rPr>
        <w:t xml:space="preserve"> w życie z dniem następującym po dniu ogłoszenia; </w:t>
      </w:r>
    </w:p>
    <w:p w14:paraId="08D39E37" w14:textId="2C780E8D" w:rsidR="00F7310F" w:rsidRDefault="00F7310F" w:rsidP="00F7310F">
      <w:pPr>
        <w:spacing w:after="0" w:line="300" w:lineRule="auto"/>
        <w:jc w:val="both"/>
        <w:rPr>
          <w:rStyle w:val="markedcontent"/>
          <w:rFonts w:ascii="Arial" w:hAnsi="Arial" w:cs="Arial"/>
        </w:rPr>
      </w:pPr>
      <w:r w:rsidRPr="00F7310F">
        <w:rPr>
          <w:rFonts w:ascii="Arial" w:eastAsia="Times New Roman" w:hAnsi="Arial" w:cs="Arial"/>
          <w:lang w:eastAsia="pl-PL"/>
        </w:rPr>
        <w:t>2) art. 8 pkt 4, 5 i pkt 6 lit. a, które wchodzą w życie po upływie 6 miesięcy od dnia ogłoszenia.</w:t>
      </w:r>
    </w:p>
    <w:p w14:paraId="42AD3F9D" w14:textId="77777777" w:rsidR="00BD54B9" w:rsidRDefault="00BD54B9" w:rsidP="00BD54B9">
      <w:pPr>
        <w:spacing w:after="0" w:line="300" w:lineRule="auto"/>
        <w:jc w:val="both"/>
        <w:rPr>
          <w:rFonts w:ascii="Arial" w:hAnsi="Arial" w:cs="Arial"/>
        </w:rPr>
      </w:pPr>
    </w:p>
    <w:sectPr w:rsidR="00BD5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7A2D"/>
    <w:multiLevelType w:val="hybridMultilevel"/>
    <w:tmpl w:val="F1EC6A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F41BBB"/>
    <w:multiLevelType w:val="hybridMultilevel"/>
    <w:tmpl w:val="11600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B71EE4"/>
    <w:multiLevelType w:val="hybridMultilevel"/>
    <w:tmpl w:val="B7EA42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0311CB"/>
    <w:multiLevelType w:val="hybridMultilevel"/>
    <w:tmpl w:val="88F22C68"/>
    <w:lvl w:ilvl="0" w:tplc="E51AA02C">
      <w:start w:val="3"/>
      <w:numFmt w:val="bullet"/>
      <w:lvlText w:val="–"/>
      <w:lvlJc w:val="left"/>
      <w:pPr>
        <w:ind w:left="1440" w:hanging="360"/>
      </w:pPr>
      <w:rPr>
        <w:rFonts w:ascii="Times New Roman" w:eastAsia="Calibri" w:hAnsi="Times New Roman"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F6A25C2"/>
    <w:multiLevelType w:val="hybridMultilevel"/>
    <w:tmpl w:val="7DFEE524"/>
    <w:lvl w:ilvl="0" w:tplc="970088A8">
      <w:start w:val="3"/>
      <w:numFmt w:val="bullet"/>
      <w:lvlText w:val="•"/>
      <w:lvlJc w:val="left"/>
      <w:pPr>
        <w:ind w:left="720" w:hanging="360"/>
      </w:pPr>
      <w:rPr>
        <w:rFonts w:ascii="Times New Roman" w:eastAsia="Calibr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5083069"/>
    <w:multiLevelType w:val="hybridMultilevel"/>
    <w:tmpl w:val="C55C09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3E1D80"/>
    <w:multiLevelType w:val="hybridMultilevel"/>
    <w:tmpl w:val="CBB8F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35407C"/>
    <w:multiLevelType w:val="hybridMultilevel"/>
    <w:tmpl w:val="59104D1C"/>
    <w:lvl w:ilvl="0" w:tplc="F1328AE8">
      <w:start w:val="1"/>
      <w:numFmt w:val="bullet"/>
      <w:lvlText w:val="–"/>
      <w:lvlJc w:val="left"/>
      <w:pPr>
        <w:ind w:left="720" w:hanging="360"/>
      </w:pPr>
      <w:rPr>
        <w:rFonts w:ascii="Trebuchet MS" w:hAnsi="Trebuchet MS" w:hint="default"/>
      </w:rPr>
    </w:lvl>
    <w:lvl w:ilvl="1" w:tplc="970088A8">
      <w:start w:val="3"/>
      <w:numFmt w:val="bullet"/>
      <w:lvlText w:val="•"/>
      <w:lvlJc w:val="left"/>
      <w:pPr>
        <w:ind w:left="1788" w:hanging="708"/>
      </w:pPr>
      <w:rPr>
        <w:rFonts w:ascii="Times New Roman" w:eastAsia="Calibri"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367906"/>
    <w:multiLevelType w:val="hybridMultilevel"/>
    <w:tmpl w:val="88D6FC2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3B842FF"/>
    <w:multiLevelType w:val="hybridMultilevel"/>
    <w:tmpl w:val="EEE80022"/>
    <w:lvl w:ilvl="0" w:tplc="970088A8">
      <w:start w:val="3"/>
      <w:numFmt w:val="bullet"/>
      <w:lvlText w:val="•"/>
      <w:lvlJc w:val="left"/>
      <w:pPr>
        <w:ind w:left="720" w:hanging="360"/>
      </w:pPr>
      <w:rPr>
        <w:rFonts w:ascii="Times New Roman" w:eastAsia="Calibri" w:hAnsi="Times New Roman" w:cs="Times New Roman" w:hint="default"/>
      </w:rPr>
    </w:lvl>
    <w:lvl w:ilvl="1" w:tplc="970088A8">
      <w:start w:val="3"/>
      <w:numFmt w:val="bullet"/>
      <w:lvlText w:val="•"/>
      <w:lvlJc w:val="left"/>
      <w:pPr>
        <w:ind w:left="1788" w:hanging="708"/>
      </w:pPr>
      <w:rPr>
        <w:rFonts w:ascii="Times New Roman" w:eastAsia="Calibri"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7763487"/>
    <w:multiLevelType w:val="hybridMultilevel"/>
    <w:tmpl w:val="CA407234"/>
    <w:lvl w:ilvl="0" w:tplc="E51AA02C">
      <w:start w:val="3"/>
      <w:numFmt w:val="bullet"/>
      <w:lvlText w:val="–"/>
      <w:lvlJc w:val="left"/>
      <w:pPr>
        <w:ind w:left="720" w:hanging="360"/>
      </w:pPr>
      <w:rPr>
        <w:rFonts w:ascii="Times New Roman" w:eastAsia="Calibr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9027726">
    <w:abstractNumId w:val="3"/>
  </w:num>
  <w:num w:numId="2" w16cid:durableId="311831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2"/>
  </w:num>
  <w:num w:numId="4" w16cid:durableId="5788216">
    <w:abstractNumId w:val="12"/>
  </w:num>
  <w:num w:numId="5" w16cid:durableId="1820147117">
    <w:abstractNumId w:val="10"/>
  </w:num>
  <w:num w:numId="6" w16cid:durableId="1955791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9821086">
    <w:abstractNumId w:val="14"/>
  </w:num>
  <w:num w:numId="8" w16cid:durableId="1954508599">
    <w:abstractNumId w:val="15"/>
  </w:num>
  <w:num w:numId="9" w16cid:durableId="1708797962">
    <w:abstractNumId w:val="5"/>
  </w:num>
  <w:num w:numId="10" w16cid:durableId="1809666076">
    <w:abstractNumId w:val="6"/>
  </w:num>
  <w:num w:numId="11" w16cid:durableId="1105424760">
    <w:abstractNumId w:val="9"/>
  </w:num>
  <w:num w:numId="12" w16cid:durableId="1287004519">
    <w:abstractNumId w:val="8"/>
  </w:num>
  <w:num w:numId="13" w16cid:durableId="1394886006">
    <w:abstractNumId w:val="1"/>
  </w:num>
  <w:num w:numId="14" w16cid:durableId="384984745">
    <w:abstractNumId w:val="0"/>
  </w:num>
  <w:num w:numId="15" w16cid:durableId="592130122">
    <w:abstractNumId w:val="7"/>
  </w:num>
  <w:num w:numId="16" w16cid:durableId="908074961">
    <w:abstractNumId w:val="4"/>
  </w:num>
  <w:num w:numId="17" w16cid:durableId="668824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B9"/>
    <w:rsid w:val="000C3D80"/>
    <w:rsid w:val="000D7A32"/>
    <w:rsid w:val="001951F1"/>
    <w:rsid w:val="001A1A77"/>
    <w:rsid w:val="0035048B"/>
    <w:rsid w:val="00354531"/>
    <w:rsid w:val="00517A01"/>
    <w:rsid w:val="00560F2B"/>
    <w:rsid w:val="00580328"/>
    <w:rsid w:val="005C4460"/>
    <w:rsid w:val="005F3751"/>
    <w:rsid w:val="00871E4C"/>
    <w:rsid w:val="0089602F"/>
    <w:rsid w:val="008A082C"/>
    <w:rsid w:val="00A96F83"/>
    <w:rsid w:val="00BD54B9"/>
    <w:rsid w:val="00C159FE"/>
    <w:rsid w:val="00C2499D"/>
    <w:rsid w:val="00CA65DC"/>
    <w:rsid w:val="00D56706"/>
    <w:rsid w:val="00DE351D"/>
    <w:rsid w:val="00E320B5"/>
    <w:rsid w:val="00E436DB"/>
    <w:rsid w:val="00F7310F"/>
    <w:rsid w:val="00F86BEB"/>
    <w:rsid w:val="00F96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9E20"/>
  <w15:chartTrackingRefBased/>
  <w15:docId w15:val="{5C325A73-8F8E-49E3-9A11-C76262DB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D80"/>
    <w:pPr>
      <w:spacing w:after="200" w:line="276" w:lineRule="auto"/>
    </w:pPr>
    <w:rPr>
      <w:kern w:val="0"/>
      <w14:ligatures w14:val="none"/>
    </w:rPr>
  </w:style>
  <w:style w:type="paragraph" w:styleId="Nagwek1">
    <w:name w:val="heading 1"/>
    <w:basedOn w:val="Normalny"/>
    <w:next w:val="Normalny"/>
    <w:link w:val="Nagwek1Znak"/>
    <w:uiPriority w:val="9"/>
    <w:qFormat/>
    <w:rsid w:val="00BD5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5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54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54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54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54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54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54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54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54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54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54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54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54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54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54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54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54B9"/>
    <w:rPr>
      <w:rFonts w:eastAsiaTheme="majorEastAsia" w:cstheme="majorBidi"/>
      <w:color w:val="272727" w:themeColor="text1" w:themeTint="D8"/>
    </w:rPr>
  </w:style>
  <w:style w:type="paragraph" w:styleId="Tytu">
    <w:name w:val="Title"/>
    <w:basedOn w:val="Normalny"/>
    <w:next w:val="Normalny"/>
    <w:link w:val="TytuZnak"/>
    <w:uiPriority w:val="10"/>
    <w:qFormat/>
    <w:rsid w:val="00BD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54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54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54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54B9"/>
    <w:pPr>
      <w:spacing w:before="160"/>
      <w:jc w:val="center"/>
    </w:pPr>
    <w:rPr>
      <w:i/>
      <w:iCs/>
      <w:color w:val="404040" w:themeColor="text1" w:themeTint="BF"/>
    </w:rPr>
  </w:style>
  <w:style w:type="character" w:customStyle="1" w:styleId="CytatZnak">
    <w:name w:val="Cytat Znak"/>
    <w:basedOn w:val="Domylnaczcionkaakapitu"/>
    <w:link w:val="Cytat"/>
    <w:uiPriority w:val="29"/>
    <w:rsid w:val="00BD54B9"/>
    <w:rPr>
      <w:i/>
      <w:iCs/>
      <w:color w:val="404040" w:themeColor="text1" w:themeTint="BF"/>
    </w:rPr>
  </w:style>
  <w:style w:type="paragraph" w:styleId="Akapitzlist">
    <w:name w:val="List Paragraph"/>
    <w:basedOn w:val="Normalny"/>
    <w:uiPriority w:val="34"/>
    <w:qFormat/>
    <w:rsid w:val="00BD54B9"/>
    <w:pPr>
      <w:ind w:left="720"/>
      <w:contextualSpacing/>
    </w:pPr>
  </w:style>
  <w:style w:type="character" w:styleId="Wyrnienieintensywne">
    <w:name w:val="Intense Emphasis"/>
    <w:basedOn w:val="Domylnaczcionkaakapitu"/>
    <w:uiPriority w:val="21"/>
    <w:qFormat/>
    <w:rsid w:val="00BD54B9"/>
    <w:rPr>
      <w:i/>
      <w:iCs/>
      <w:color w:val="0F4761" w:themeColor="accent1" w:themeShade="BF"/>
    </w:rPr>
  </w:style>
  <w:style w:type="paragraph" w:styleId="Cytatintensywny">
    <w:name w:val="Intense Quote"/>
    <w:basedOn w:val="Normalny"/>
    <w:next w:val="Normalny"/>
    <w:link w:val="CytatintensywnyZnak"/>
    <w:uiPriority w:val="30"/>
    <w:qFormat/>
    <w:rsid w:val="00BD5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54B9"/>
    <w:rPr>
      <w:i/>
      <w:iCs/>
      <w:color w:val="0F4761" w:themeColor="accent1" w:themeShade="BF"/>
    </w:rPr>
  </w:style>
  <w:style w:type="character" w:styleId="Odwoanieintensywne">
    <w:name w:val="Intense Reference"/>
    <w:basedOn w:val="Domylnaczcionkaakapitu"/>
    <w:uiPriority w:val="32"/>
    <w:qFormat/>
    <w:rsid w:val="00BD54B9"/>
    <w:rPr>
      <w:b/>
      <w:bCs/>
      <w:smallCaps/>
      <w:color w:val="0F4761" w:themeColor="accent1" w:themeShade="BF"/>
      <w:spacing w:val="5"/>
    </w:rPr>
  </w:style>
  <w:style w:type="character" w:customStyle="1" w:styleId="markedcontent">
    <w:name w:val="markedcontent"/>
    <w:basedOn w:val="Domylnaczcionkaakapitu"/>
    <w:rsid w:val="00BD54B9"/>
  </w:style>
  <w:style w:type="character" w:styleId="Hipercze">
    <w:name w:val="Hyperlink"/>
    <w:basedOn w:val="Domylnaczcionkaakapitu"/>
    <w:uiPriority w:val="99"/>
    <w:unhideWhenUsed/>
    <w:rsid w:val="0035048B"/>
    <w:rPr>
      <w:color w:val="467886" w:themeColor="hyperlink"/>
      <w:u w:val="single"/>
    </w:rPr>
  </w:style>
  <w:style w:type="character" w:styleId="Nierozpoznanawzmianka">
    <w:name w:val="Unresolved Mention"/>
    <w:basedOn w:val="Domylnaczcionkaakapitu"/>
    <w:uiPriority w:val="99"/>
    <w:semiHidden/>
    <w:unhideWhenUsed/>
    <w:rsid w:val="0035048B"/>
    <w:rPr>
      <w:color w:val="605E5C"/>
      <w:shd w:val="clear" w:color="auto" w:fill="E1DFDD"/>
    </w:rPr>
  </w:style>
  <w:style w:type="character" w:styleId="UyteHipercze">
    <w:name w:val="FollowedHyperlink"/>
    <w:basedOn w:val="Domylnaczcionkaakapitu"/>
    <w:uiPriority w:val="99"/>
    <w:semiHidden/>
    <w:unhideWhenUsed/>
    <w:rsid w:val="003504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11302/katalog/13209244#132092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cja.rcl.gov.pl/projekt/12411552/katalog/13210394#13210394" TargetMode="External"/><Relationship Id="rId12" Type="http://schemas.openxmlformats.org/officeDocument/2006/relationships/hyperlink" Target="https://legislacja.rcl.gov.pl/projekt/12411853/katalog/13211737#132117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11303/katalog/13209287#13209287" TargetMode="External"/><Relationship Id="rId11" Type="http://schemas.openxmlformats.org/officeDocument/2006/relationships/hyperlink" Target="https://legislacja.rcl.gov.pl/projekt/12411859/katalog/13212010#13212010" TargetMode="External"/><Relationship Id="rId5" Type="http://schemas.openxmlformats.org/officeDocument/2006/relationships/image" Target="media/image1.png"/><Relationship Id="rId10" Type="http://schemas.openxmlformats.org/officeDocument/2006/relationships/hyperlink" Target="https://legislacja.rcl.gov.pl/projekt/12411554/katalog/13210495#13210495" TargetMode="External"/><Relationship Id="rId4" Type="http://schemas.openxmlformats.org/officeDocument/2006/relationships/webSettings" Target="webSettings.xml"/><Relationship Id="rId9" Type="http://schemas.openxmlformats.org/officeDocument/2006/relationships/hyperlink" Target="https://legislacja.rcl.gov.pl/projekt/12411352/katalog/13209776#13209776"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25</Pages>
  <Words>11127</Words>
  <Characters>66763</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19</cp:revision>
  <dcterms:created xsi:type="dcterms:W3CDTF">2026-07-03T09:12:00Z</dcterms:created>
  <dcterms:modified xsi:type="dcterms:W3CDTF">2026-07-03T12:47:00Z</dcterms:modified>
</cp:coreProperties>
</file>