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C8C8A" w14:textId="4A5946A5" w:rsidR="00AB6DFC" w:rsidRPr="003A3899" w:rsidRDefault="00CA2841" w:rsidP="005F7D4D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3A3899">
        <w:rPr>
          <w:rFonts w:ascii="Lato" w:hAnsi="Lato" w:cs="Times New Roman"/>
          <w:b/>
          <w:bCs/>
          <w:sz w:val="20"/>
          <w:szCs w:val="20"/>
        </w:rPr>
        <w:t xml:space="preserve">Uwagi </w:t>
      </w:r>
      <w:r w:rsidR="005F7D4D" w:rsidRPr="003A3899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3A3899">
        <w:rPr>
          <w:rFonts w:ascii="Lato" w:hAnsi="Lato" w:cs="Times New Roman"/>
          <w:b/>
          <w:bCs/>
          <w:sz w:val="20"/>
          <w:szCs w:val="20"/>
        </w:rPr>
        <w:t>do projektu</w:t>
      </w:r>
      <w:bookmarkStart w:id="1" w:name="_Hlk163464623"/>
      <w:r w:rsidR="00894E5C" w:rsidRPr="003A3899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AB6DFC" w:rsidRPr="003A3899">
        <w:rPr>
          <w:rFonts w:ascii="Lato" w:hAnsi="Lato" w:cs="Times New Roman"/>
          <w:b/>
          <w:bCs/>
          <w:sz w:val="20"/>
          <w:szCs w:val="20"/>
        </w:rPr>
        <w:t xml:space="preserve">rozporządzenia </w:t>
      </w:r>
      <w:r w:rsidR="005F7D4D" w:rsidRPr="003A3899">
        <w:rPr>
          <w:rFonts w:ascii="Lato" w:hAnsi="Lato" w:cs="Times New Roman"/>
          <w:b/>
          <w:bCs/>
          <w:sz w:val="20"/>
          <w:szCs w:val="20"/>
        </w:rPr>
        <w:t>Ministra Energii w sprawie sposobu kształtowania i kalkulacji taryf oraz sposobu rozliczeń w obrocie energią elektryczną</w:t>
      </w:r>
    </w:p>
    <w:p w14:paraId="304455B3" w14:textId="5DDAF9E5" w:rsidR="00CA2841" w:rsidRPr="003A3899" w:rsidRDefault="00AB6DFC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3A3899">
        <w:rPr>
          <w:rFonts w:ascii="Lato" w:hAnsi="Lato" w:cs="Times New Roman"/>
          <w:b/>
          <w:bCs/>
          <w:sz w:val="20"/>
          <w:szCs w:val="20"/>
        </w:rPr>
        <w:t xml:space="preserve">(nr </w:t>
      </w:r>
      <w:r w:rsidR="005F7D4D" w:rsidRPr="003A3899">
        <w:rPr>
          <w:rFonts w:ascii="Lato" w:hAnsi="Lato" w:cs="Times New Roman"/>
          <w:b/>
          <w:bCs/>
          <w:sz w:val="20"/>
          <w:szCs w:val="20"/>
        </w:rPr>
        <w:t>28</w:t>
      </w:r>
      <w:r w:rsidRPr="003A3899">
        <w:rPr>
          <w:rFonts w:ascii="Lato" w:hAnsi="Lato" w:cs="Times New Roman"/>
          <w:b/>
          <w:bCs/>
          <w:sz w:val="20"/>
          <w:szCs w:val="20"/>
        </w:rPr>
        <w:t xml:space="preserve"> w Wykazie prac legislacyjnych Ministra Energii)</w:t>
      </w:r>
      <w:bookmarkEnd w:id="1"/>
    </w:p>
    <w:p w14:paraId="711D6FEE" w14:textId="77777777" w:rsidR="00CA2841" w:rsidRPr="003A3899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843"/>
        <w:gridCol w:w="6379"/>
        <w:gridCol w:w="3827"/>
      </w:tblGrid>
      <w:tr w:rsidR="00AB6DFC" w:rsidRPr="003A3899" w14:paraId="47E9ED08" w14:textId="77777777" w:rsidTr="003A3899">
        <w:trPr>
          <w:trHeight w:val="551"/>
          <w:tblHeader/>
        </w:trPr>
        <w:tc>
          <w:tcPr>
            <w:tcW w:w="562" w:type="dxa"/>
          </w:tcPr>
          <w:p w14:paraId="115BF413" w14:textId="6257DDCF" w:rsidR="00AB6DFC" w:rsidRPr="003A3899" w:rsidRDefault="00AB6DF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</w:tcPr>
          <w:p w14:paraId="0FAF4510" w14:textId="4FD6EB74" w:rsidR="00AB6DFC" w:rsidRPr="003A3899" w:rsidRDefault="00AB6DF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Podmiot wnoszący uwagę</w:t>
            </w:r>
          </w:p>
        </w:tc>
        <w:tc>
          <w:tcPr>
            <w:tcW w:w="1843" w:type="dxa"/>
          </w:tcPr>
          <w:p w14:paraId="51F92737" w14:textId="18C9A719" w:rsidR="00AB6DFC" w:rsidRPr="003A3899" w:rsidRDefault="00AB6DF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wnoszona jest uwaga</w:t>
            </w:r>
          </w:p>
        </w:tc>
        <w:tc>
          <w:tcPr>
            <w:tcW w:w="6379" w:type="dxa"/>
          </w:tcPr>
          <w:p w14:paraId="74AACE5A" w14:textId="0BDDBBD7" w:rsidR="00AB6DFC" w:rsidRPr="003A3899" w:rsidRDefault="00AB6DF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3827" w:type="dxa"/>
          </w:tcPr>
          <w:p w14:paraId="7C9E6D74" w14:textId="597CDAA9" w:rsidR="00AB6DFC" w:rsidRPr="003A3899" w:rsidRDefault="00AB6DF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Propozycja brzmienia przepisu</w:t>
            </w:r>
          </w:p>
        </w:tc>
      </w:tr>
      <w:tr w:rsidR="00AB6DFC" w:rsidRPr="003A3899" w14:paraId="27D19DF6" w14:textId="77777777" w:rsidTr="003A3899">
        <w:tc>
          <w:tcPr>
            <w:tcW w:w="562" w:type="dxa"/>
          </w:tcPr>
          <w:p w14:paraId="743719D4" w14:textId="77777777" w:rsidR="00AB6DFC" w:rsidRPr="003A3899" w:rsidRDefault="00AB6DF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0E6D6A0" w14:textId="4480CDFA" w:rsidR="00AB6DFC" w:rsidRPr="003A3899" w:rsidRDefault="00700199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Związek Pracodawców Polska Miedź</w:t>
            </w:r>
          </w:p>
        </w:tc>
        <w:tc>
          <w:tcPr>
            <w:tcW w:w="1843" w:type="dxa"/>
          </w:tcPr>
          <w:p w14:paraId="75E3328B" w14:textId="2816F2DD" w:rsidR="00892321" w:rsidRPr="003A3899" w:rsidRDefault="00892321" w:rsidP="00892321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>Uwaga ogólna</w:t>
            </w:r>
          </w:p>
          <w:p w14:paraId="32C46E4D" w14:textId="0F58EAB0" w:rsidR="00AB6DFC" w:rsidRPr="003A3899" w:rsidRDefault="00AB6DF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AF4B789" w14:textId="77777777" w:rsidR="00AB6DFC" w:rsidRPr="003A3899" w:rsidRDefault="00B7771A" w:rsidP="008B766F">
            <w:pPr>
              <w:jc w:val="both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Uwaga ogólna:</w:t>
            </w:r>
          </w:p>
          <w:p w14:paraId="5426552D" w14:textId="77777777" w:rsidR="00B7771A" w:rsidRPr="003A3899" w:rsidRDefault="00B7771A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5CA6C96C" w14:textId="47D3808B" w:rsidR="00FC01D9" w:rsidRPr="003A3899" w:rsidRDefault="003A3899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P</w:t>
            </w:r>
            <w:r w:rsidR="003A0344" w:rsidRPr="003A3899">
              <w:rPr>
                <w:rFonts w:ascii="Lato" w:hAnsi="Lato" w:cs="Times New Roman"/>
                <w:sz w:val="20"/>
                <w:szCs w:val="20"/>
              </w:rPr>
              <w:t>rzygotowanie projektu nowego rozporządzenia taryfowego zawierającego rozwiązania dedykowane obiektom przemysłowym</w:t>
            </w:r>
            <w:r>
              <w:rPr>
                <w:rFonts w:ascii="Lato" w:hAnsi="Lato" w:cs="Times New Roman"/>
                <w:sz w:val="20"/>
                <w:szCs w:val="20"/>
              </w:rPr>
              <w:t xml:space="preserve"> zasługuje na docenienie</w:t>
            </w:r>
            <w:r w:rsidR="003A0344" w:rsidRPr="003A3899">
              <w:rPr>
                <w:rFonts w:ascii="Lato" w:hAnsi="Lato" w:cs="Times New Roman"/>
                <w:sz w:val="20"/>
                <w:szCs w:val="20"/>
              </w:rPr>
              <w:t>. Analiza</w:t>
            </w:r>
            <w:r w:rsidR="00FC01D9" w:rsidRPr="003A3899">
              <w:rPr>
                <w:rFonts w:ascii="Lato" w:hAnsi="Lato" w:cs="Times New Roman"/>
                <w:sz w:val="20"/>
                <w:szCs w:val="20"/>
              </w:rPr>
              <w:t xml:space="preserve"> merytoryczna</w:t>
            </w:r>
            <w:r w:rsidR="003A0344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FC01D9" w:rsidRPr="003A3899">
              <w:rPr>
                <w:rFonts w:ascii="Lato" w:hAnsi="Lato" w:cs="Times New Roman"/>
                <w:sz w:val="20"/>
                <w:szCs w:val="20"/>
              </w:rPr>
              <w:t>przedłożonych propozycji</w:t>
            </w:r>
            <w:r w:rsidR="003A0344" w:rsidRPr="003A3899">
              <w:rPr>
                <w:rFonts w:ascii="Lato" w:hAnsi="Lato" w:cs="Times New Roman"/>
                <w:sz w:val="20"/>
                <w:szCs w:val="20"/>
              </w:rPr>
              <w:t xml:space="preserve"> skłania jednak</w:t>
            </w:r>
            <w:r w:rsidR="00EC6214" w:rsidRPr="003A3899">
              <w:rPr>
                <w:rFonts w:ascii="Lato" w:hAnsi="Lato" w:cs="Times New Roman"/>
                <w:sz w:val="20"/>
                <w:szCs w:val="20"/>
              </w:rPr>
              <w:t xml:space="preserve"> do</w:t>
            </w:r>
            <w:r w:rsidR="003A0344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FC01D9" w:rsidRPr="003A3899">
              <w:rPr>
                <w:rFonts w:ascii="Lato" w:hAnsi="Lato" w:cs="Times New Roman"/>
                <w:sz w:val="20"/>
                <w:szCs w:val="20"/>
              </w:rPr>
              <w:t>refleksji,</w:t>
            </w:r>
            <w:r w:rsidR="003A0344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EC6214" w:rsidRPr="003A3899">
              <w:rPr>
                <w:rFonts w:ascii="Lato" w:hAnsi="Lato" w:cs="Times New Roman"/>
                <w:sz w:val="20"/>
                <w:szCs w:val="20"/>
              </w:rPr>
              <w:t xml:space="preserve">że </w:t>
            </w:r>
            <w:r w:rsidR="003A0344" w:rsidRPr="003A3899">
              <w:rPr>
                <w:rFonts w:ascii="Lato" w:hAnsi="Lato" w:cs="Times New Roman"/>
                <w:sz w:val="20"/>
                <w:szCs w:val="20"/>
              </w:rPr>
              <w:t xml:space="preserve">odzwierciedlają </w:t>
            </w:r>
            <w:r w:rsidR="00FC01D9" w:rsidRPr="003A3899">
              <w:rPr>
                <w:rFonts w:ascii="Lato" w:hAnsi="Lato" w:cs="Times New Roman"/>
                <w:sz w:val="20"/>
                <w:szCs w:val="20"/>
              </w:rPr>
              <w:t xml:space="preserve">one </w:t>
            </w:r>
            <w:r w:rsidR="003A0344" w:rsidRPr="003A3899">
              <w:rPr>
                <w:rFonts w:ascii="Lato" w:hAnsi="Lato" w:cs="Times New Roman"/>
                <w:sz w:val="20"/>
                <w:szCs w:val="20"/>
              </w:rPr>
              <w:t>przede wszystkim spojrzenie operatorów</w:t>
            </w:r>
            <w:r w:rsidR="00FC01D9" w:rsidRPr="003A3899">
              <w:rPr>
                <w:rFonts w:ascii="Lato" w:hAnsi="Lato" w:cs="Times New Roman"/>
                <w:sz w:val="20"/>
                <w:szCs w:val="20"/>
              </w:rPr>
              <w:t xml:space="preserve"> zawodowych na </w:t>
            </w:r>
            <w:r w:rsidR="00EC6214" w:rsidRPr="003A3899">
              <w:rPr>
                <w:rFonts w:ascii="Lato" w:hAnsi="Lato" w:cs="Times New Roman"/>
                <w:sz w:val="20"/>
                <w:szCs w:val="20"/>
              </w:rPr>
              <w:t>przedmiotowe zagadnienie</w:t>
            </w:r>
            <w:r w:rsidR="00FC01D9" w:rsidRPr="003A3899">
              <w:rPr>
                <w:rFonts w:ascii="Lato" w:hAnsi="Lato" w:cs="Times New Roman"/>
                <w:sz w:val="20"/>
                <w:szCs w:val="20"/>
              </w:rPr>
              <w:t xml:space="preserve">, nie uwzględniając specyfiki bardzo wielu dużych zakładów przemysłowych. </w:t>
            </w:r>
          </w:p>
          <w:p w14:paraId="1D7B72DE" w14:textId="77777777" w:rsidR="00FC01D9" w:rsidRPr="003A3899" w:rsidRDefault="00FC01D9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26AF94AD" w14:textId="4555AB0C" w:rsidR="00B7771A" w:rsidRPr="003A3899" w:rsidRDefault="00FC01D9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>Ubolewamy</w:t>
            </w:r>
            <w:r w:rsidR="00EC6214" w:rsidRPr="003A3899">
              <w:rPr>
                <w:rFonts w:ascii="Lato" w:hAnsi="Lato" w:cs="Times New Roman"/>
                <w:sz w:val="20"/>
                <w:szCs w:val="20"/>
              </w:rPr>
              <w:t xml:space="preserve"> nad tym, że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bardzo krótki termin na konsultacje publiczne tak ważnego projektu dla polskiego przemysłu nie pozwala na w pełni adekwatną do wagi zagadnienia dyskusję nad proponowanymi rozwiązaniami. Brak uwzględnienia w </w:t>
            </w:r>
            <w:r w:rsidR="00EC6214" w:rsidRPr="003A3899">
              <w:rPr>
                <w:rFonts w:ascii="Lato" w:hAnsi="Lato" w:cs="Times New Roman"/>
                <w:sz w:val="20"/>
                <w:szCs w:val="20"/>
              </w:rPr>
              <w:t>projekcie specyfiki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uwarunkowań wspólnych dla wielu zakładów energochłonnych może skutkować tym, że rozwiązania</w:t>
            </w:r>
            <w:r w:rsidR="00EC6214" w:rsidRPr="003A3899">
              <w:rPr>
                <w:rFonts w:ascii="Lato" w:hAnsi="Lato" w:cs="Times New Roman"/>
                <w:sz w:val="20"/>
                <w:szCs w:val="20"/>
              </w:rPr>
              <w:t>,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które w założeniu mają na celu pomóc przemysłowi mogą </w:t>
            </w:r>
            <w:r w:rsidR="00597D98" w:rsidRPr="003A3899">
              <w:rPr>
                <w:rFonts w:ascii="Lato" w:hAnsi="Lato" w:cs="Times New Roman"/>
                <w:sz w:val="20"/>
                <w:szCs w:val="20"/>
              </w:rPr>
              <w:t>jego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sytuację jeszcze pogorszyć</w:t>
            </w:r>
            <w:r w:rsidR="00EC6214" w:rsidRPr="003A3899">
              <w:rPr>
                <w:rFonts w:ascii="Lato" w:hAnsi="Lato" w:cs="Times New Roman"/>
                <w:sz w:val="20"/>
                <w:szCs w:val="20"/>
              </w:rPr>
              <w:t xml:space="preserve"> względem obecnej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. </w:t>
            </w:r>
            <w:r w:rsidR="00EC6214" w:rsidRPr="00A14E1D">
              <w:rPr>
                <w:rFonts w:ascii="Lato" w:hAnsi="Lato" w:cs="Times New Roman"/>
                <w:b/>
                <w:bCs/>
                <w:sz w:val="20"/>
                <w:szCs w:val="20"/>
              </w:rPr>
              <w:t>Już dzisiaj zaś polski przemysł energochłonny zmaga się z systematyczną utratą konkurencyjności, tak na rynku unijnym jak i na rynkach globalnych.</w:t>
            </w:r>
            <w:r w:rsidR="00EC6214" w:rsidRPr="003A3899">
              <w:rPr>
                <w:rFonts w:ascii="Lato" w:hAnsi="Lato" w:cs="Times New Roman"/>
                <w:sz w:val="20"/>
                <w:szCs w:val="20"/>
              </w:rPr>
              <w:t xml:space="preserve"> Związane jest to przede wszystkim z kosztami energii i usług sieciowych, które przemysł ponosi na poziomie nieproporcjonalnie wysokim w stosunku </w:t>
            </w:r>
            <w:r w:rsidR="00597D98" w:rsidRPr="003A3899">
              <w:rPr>
                <w:rFonts w:ascii="Lato" w:hAnsi="Lato" w:cs="Times New Roman"/>
                <w:sz w:val="20"/>
                <w:szCs w:val="20"/>
              </w:rPr>
              <w:t xml:space="preserve">nie tylko do konkurencji w innych państwach, ale także </w:t>
            </w:r>
            <w:r w:rsidR="00EC6214" w:rsidRPr="003A3899">
              <w:rPr>
                <w:rFonts w:ascii="Lato" w:hAnsi="Lato" w:cs="Times New Roman"/>
                <w:sz w:val="20"/>
                <w:szCs w:val="20"/>
              </w:rPr>
              <w:t>do innych grup</w:t>
            </w:r>
            <w:r w:rsidR="00597D98" w:rsidRPr="003A3899">
              <w:rPr>
                <w:rFonts w:ascii="Lato" w:hAnsi="Lato" w:cs="Times New Roman"/>
                <w:sz w:val="20"/>
                <w:szCs w:val="20"/>
              </w:rPr>
              <w:t xml:space="preserve"> taryfowych. Jednocześnie w kosztach usług sieciowych praktycznie nie jest</w:t>
            </w:r>
            <w:r w:rsidR="005107FC" w:rsidRPr="003A3899">
              <w:rPr>
                <w:rFonts w:ascii="Lato" w:hAnsi="Lato" w:cs="Times New Roman"/>
                <w:sz w:val="20"/>
                <w:szCs w:val="20"/>
              </w:rPr>
              <w:t xml:space="preserve"> odzwierciedl</w:t>
            </w:r>
            <w:r w:rsidR="00597D98" w:rsidRPr="003A3899">
              <w:rPr>
                <w:rFonts w:ascii="Lato" w:hAnsi="Lato" w:cs="Times New Roman"/>
                <w:sz w:val="20"/>
                <w:szCs w:val="20"/>
              </w:rPr>
              <w:t>o</w:t>
            </w:r>
            <w:r w:rsidR="005107FC" w:rsidRPr="003A3899">
              <w:rPr>
                <w:rFonts w:ascii="Lato" w:hAnsi="Lato" w:cs="Times New Roman"/>
                <w:sz w:val="20"/>
                <w:szCs w:val="20"/>
              </w:rPr>
              <w:t>n</w:t>
            </w:r>
            <w:r w:rsidR="00597D98" w:rsidRPr="003A3899">
              <w:rPr>
                <w:rFonts w:ascii="Lato" w:hAnsi="Lato" w:cs="Times New Roman"/>
                <w:sz w:val="20"/>
                <w:szCs w:val="20"/>
              </w:rPr>
              <w:t>a pozytywna</w:t>
            </w:r>
            <w:r w:rsidR="005107FC" w:rsidRPr="003A3899">
              <w:rPr>
                <w:rFonts w:ascii="Lato" w:hAnsi="Lato" w:cs="Times New Roman"/>
                <w:sz w:val="20"/>
                <w:szCs w:val="20"/>
              </w:rPr>
              <w:t xml:space="preserve"> rol</w:t>
            </w:r>
            <w:r w:rsidR="00597D98" w:rsidRPr="003A3899">
              <w:rPr>
                <w:rFonts w:ascii="Lato" w:hAnsi="Lato" w:cs="Times New Roman"/>
                <w:sz w:val="20"/>
                <w:szCs w:val="20"/>
              </w:rPr>
              <w:t>a</w:t>
            </w:r>
            <w:r w:rsidR="005107FC" w:rsidRPr="003A3899">
              <w:rPr>
                <w:rFonts w:ascii="Lato" w:hAnsi="Lato" w:cs="Times New Roman"/>
                <w:sz w:val="20"/>
                <w:szCs w:val="20"/>
              </w:rPr>
              <w:t xml:space="preserve"> przemysłu w stabilizacji pracy </w:t>
            </w:r>
            <w:r w:rsidR="00597D98" w:rsidRPr="003A3899">
              <w:rPr>
                <w:rFonts w:ascii="Lato" w:hAnsi="Lato" w:cs="Times New Roman"/>
                <w:sz w:val="20"/>
                <w:szCs w:val="20"/>
              </w:rPr>
              <w:t>KSE.</w:t>
            </w:r>
          </w:p>
          <w:p w14:paraId="1F0AAFCC" w14:textId="77777777" w:rsidR="00EC6214" w:rsidRPr="003A3899" w:rsidRDefault="00EC6214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3A4DDD0D" w14:textId="4823B7C8" w:rsidR="00EC6214" w:rsidRPr="003A3899" w:rsidRDefault="003A3899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Z</w:t>
            </w:r>
            <w:r w:rsidR="00597D98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aproponowane rozwiązania mają dwa podstawowe mankamenty – bardzo wąską definicję „obiektu przemysłowego” oraz</w:t>
            </w:r>
            <w:r w:rsidR="00C9569A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zupełnie uznaniowy tryb kalkulacji </w:t>
            </w:r>
            <w:r w:rsidR="00E3490E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przez operatorów </w:t>
            </w:r>
            <w:r w:rsidR="00C9569A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stawek dla takich</w:t>
            </w:r>
            <w:r w:rsidR="00E3490E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obiektów – nie gwarantujący rzeczywistej ich obniżki ani ich poziomu.</w:t>
            </w:r>
            <w:r w:rsidR="00E3490E" w:rsidRPr="003A3899">
              <w:rPr>
                <w:rFonts w:ascii="Lato" w:hAnsi="Lato" w:cs="Times New Roman"/>
                <w:sz w:val="20"/>
                <w:szCs w:val="20"/>
              </w:rPr>
              <w:t xml:space="preserve"> Szczegółowe uwagi w tym zakresie zostały przedstawione poniżej.</w:t>
            </w:r>
          </w:p>
          <w:p w14:paraId="29E8103F" w14:textId="77777777" w:rsidR="00597D98" w:rsidRPr="003A3899" w:rsidRDefault="00597D98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6B7EAC09" w14:textId="1B576931" w:rsidR="00597D98" w:rsidRPr="003A3899" w:rsidRDefault="00597D98" w:rsidP="008B766F">
            <w:pPr>
              <w:jc w:val="both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Analizując OSR</w:t>
            </w:r>
            <w:r w:rsidR="00E3490E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projekt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wyrażamy</w:t>
            </w:r>
            <w:r w:rsidR="00E3490E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jednocześnie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głęboką obawę, że skutki proponowanych rozwiązań i ich wpływ na przemysł nie został właściwie oceniony.</w:t>
            </w:r>
          </w:p>
          <w:p w14:paraId="473A40F5" w14:textId="6581582B" w:rsidR="00B7771A" w:rsidRPr="003A3899" w:rsidRDefault="00B7771A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2530CAA" w14:textId="316CBC51" w:rsidR="00AB6DFC" w:rsidRPr="003A3899" w:rsidRDefault="00AB6DF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AB6DFC" w:rsidRPr="003A3899" w14:paraId="4AE66715" w14:textId="77777777" w:rsidTr="003A3899">
        <w:tc>
          <w:tcPr>
            <w:tcW w:w="562" w:type="dxa"/>
          </w:tcPr>
          <w:p w14:paraId="6AFC8947" w14:textId="6420194E" w:rsidR="00AB6DFC" w:rsidRPr="003A3899" w:rsidRDefault="00AB6DF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1" w:type="dxa"/>
          </w:tcPr>
          <w:p w14:paraId="752B4D6B" w14:textId="5178D4BC" w:rsidR="00AB6DFC" w:rsidRPr="003A3899" w:rsidRDefault="00700199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700199">
              <w:rPr>
                <w:rFonts w:ascii="Lato" w:hAnsi="Lato" w:cs="Times New Roman"/>
                <w:sz w:val="20"/>
                <w:szCs w:val="20"/>
              </w:rPr>
              <w:t>Związek Pracodawców Polska Miedź</w:t>
            </w:r>
          </w:p>
        </w:tc>
        <w:tc>
          <w:tcPr>
            <w:tcW w:w="1843" w:type="dxa"/>
          </w:tcPr>
          <w:p w14:paraId="1945FFFA" w14:textId="0D3422E5" w:rsidR="00AB6DFC" w:rsidRPr="003A3899" w:rsidRDefault="00597D98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>§2 pkt 15</w:t>
            </w:r>
          </w:p>
        </w:tc>
        <w:tc>
          <w:tcPr>
            <w:tcW w:w="6379" w:type="dxa"/>
          </w:tcPr>
          <w:p w14:paraId="4F94E909" w14:textId="1C8C7090" w:rsidR="00AB6DFC" w:rsidRPr="003A3899" w:rsidRDefault="00166CFE" w:rsidP="008B766F">
            <w:pPr>
              <w:jc w:val="both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Zaproponowana </w:t>
            </w:r>
            <w:r w:rsidR="00E3490E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w projekcie rozporządzenia 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definicja </w:t>
            </w:r>
            <w:r w:rsidR="006550C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obiektu przemysłowego 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w sposób nieuzasadniony </w:t>
            </w:r>
            <w:r w:rsidR="00E3490E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zawęża to pojęcie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.</w:t>
            </w:r>
          </w:p>
          <w:p w14:paraId="7A637859" w14:textId="77777777" w:rsidR="006550C3" w:rsidRPr="003A3899" w:rsidRDefault="006550C3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602812C0" w14:textId="71FE29E7" w:rsidR="007C1E92" w:rsidRPr="003A3899" w:rsidRDefault="00166CFE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Po pierwsze</w:t>
            </w:r>
            <w:r w:rsidR="006550C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,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</w:t>
            </w:r>
            <w:r w:rsidR="00E3490E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ograniczenie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przedmiotowe</w:t>
            </w:r>
            <w:r w:rsidR="00E3490E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j kategorii 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wyłącznie do obiektów znajdujących się</w:t>
            </w:r>
            <w:r w:rsidR="006550C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pod jednym adresem lub w jednej lokalizacji eliminuje lub sztucznie dzieli </w:t>
            </w:r>
            <w:r w:rsidR="007C1E92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(w zakresie rozliczeń za energię) </w:t>
            </w:r>
            <w:r w:rsidR="006550C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bardziej złożon</w:t>
            </w:r>
            <w:r w:rsidR="007C1E92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e</w:t>
            </w:r>
            <w:r w:rsidR="006550C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kompleksy przemysłowe.</w:t>
            </w:r>
            <w:r w:rsidR="006550C3" w:rsidRPr="003A3899">
              <w:rPr>
                <w:rFonts w:ascii="Lato" w:hAnsi="Lato" w:cs="Times New Roman"/>
                <w:sz w:val="20"/>
                <w:szCs w:val="20"/>
              </w:rPr>
              <w:t xml:space="preserve"> Takie kompleksy potrafią funkcjonować na dużych obszarach, w pewnym rozproszeniu, są one jednak funkcjonalnie powiązane, a zarządzanie ich potrzebami energetycznymi odbywa się w sposób scentralizowany, </w:t>
            </w:r>
            <w:r w:rsidR="007C1E92" w:rsidRPr="003A3899">
              <w:rPr>
                <w:rFonts w:ascii="Lato" w:hAnsi="Lato" w:cs="Times New Roman"/>
                <w:sz w:val="20"/>
                <w:szCs w:val="20"/>
              </w:rPr>
              <w:t>c</w:t>
            </w:r>
            <w:r w:rsidR="006550C3" w:rsidRPr="003A3899">
              <w:rPr>
                <w:rFonts w:ascii="Lato" w:hAnsi="Lato" w:cs="Times New Roman"/>
                <w:sz w:val="20"/>
                <w:szCs w:val="20"/>
              </w:rPr>
              <w:t xml:space="preserve">o znajduje odzwierciedlenie </w:t>
            </w:r>
            <w:r w:rsidR="007C1E92" w:rsidRPr="003A3899">
              <w:rPr>
                <w:rFonts w:ascii="Lato" w:hAnsi="Lato" w:cs="Times New Roman"/>
                <w:sz w:val="20"/>
                <w:szCs w:val="20"/>
              </w:rPr>
              <w:t>m.in.</w:t>
            </w:r>
            <w:r w:rsidR="006550C3" w:rsidRPr="003A3899">
              <w:rPr>
                <w:rFonts w:ascii="Lato" w:hAnsi="Lato" w:cs="Times New Roman"/>
                <w:sz w:val="20"/>
                <w:szCs w:val="20"/>
              </w:rPr>
              <w:t xml:space="preserve"> we wspólnym zamawianiu mocy umownej</w:t>
            </w:r>
            <w:r w:rsidR="00E3490E" w:rsidRPr="003A3899">
              <w:rPr>
                <w:rFonts w:ascii="Lato" w:hAnsi="Lato" w:cs="Times New Roman"/>
                <w:sz w:val="20"/>
                <w:szCs w:val="20"/>
              </w:rPr>
              <w:t xml:space="preserve"> i rozliczeniu jej ewentualnych </w:t>
            </w:r>
            <w:r w:rsidR="007C1E92" w:rsidRPr="003A3899">
              <w:rPr>
                <w:rFonts w:ascii="Lato" w:hAnsi="Lato" w:cs="Times New Roman"/>
                <w:sz w:val="20"/>
                <w:szCs w:val="20"/>
              </w:rPr>
              <w:t>przekroczeń</w:t>
            </w:r>
            <w:r w:rsidR="006550C3" w:rsidRPr="003A3899">
              <w:rPr>
                <w:rFonts w:ascii="Lato" w:hAnsi="Lato" w:cs="Times New Roman"/>
                <w:sz w:val="20"/>
                <w:szCs w:val="20"/>
              </w:rPr>
              <w:t xml:space="preserve"> łącznie dla całego kompleksu </w:t>
            </w:r>
            <w:r w:rsidR="00E3490E" w:rsidRPr="003A3899">
              <w:rPr>
                <w:rFonts w:ascii="Lato" w:hAnsi="Lato" w:cs="Times New Roman"/>
                <w:sz w:val="20"/>
                <w:szCs w:val="20"/>
              </w:rPr>
              <w:t>(</w:t>
            </w:r>
            <w:r w:rsidR="006550C3" w:rsidRPr="003A3899">
              <w:rPr>
                <w:rFonts w:ascii="Lato" w:hAnsi="Lato" w:cs="Times New Roman"/>
                <w:sz w:val="20"/>
                <w:szCs w:val="20"/>
              </w:rPr>
              <w:t>w oparciu o sumator</w:t>
            </w:r>
            <w:r w:rsidR="00E3490E" w:rsidRPr="003A3899">
              <w:rPr>
                <w:rFonts w:ascii="Lato" w:hAnsi="Lato" w:cs="Times New Roman"/>
                <w:sz w:val="20"/>
                <w:szCs w:val="20"/>
              </w:rPr>
              <w:t>)</w:t>
            </w:r>
            <w:r w:rsidR="006550C3" w:rsidRPr="003A3899">
              <w:rPr>
                <w:rFonts w:ascii="Lato" w:hAnsi="Lato" w:cs="Times New Roman"/>
                <w:sz w:val="20"/>
                <w:szCs w:val="20"/>
              </w:rPr>
              <w:t xml:space="preserve">. </w:t>
            </w:r>
          </w:p>
          <w:p w14:paraId="2B9C0082" w14:textId="77777777" w:rsidR="007C1E92" w:rsidRPr="003A3899" w:rsidRDefault="007C1E92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4E5D996B" w14:textId="1BD9E244" w:rsidR="00166CFE" w:rsidRPr="003A3899" w:rsidRDefault="00A514B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Proponowana w projekcie d</w:t>
            </w:r>
            <w:r w:rsidR="006550C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efinicja </w:t>
            </w:r>
            <w:r w:rsidR="007C1E92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zawężająca pojęcie obiektu przemysłowego do</w:t>
            </w:r>
            <w:r w:rsidR="006550C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jednej lokalizacji może w praktyce pogorszyć sytuację </w:t>
            </w:r>
            <w:r w:rsidR="007C1E92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kombinatów</w:t>
            </w:r>
            <w:r w:rsidR="006550C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przemysłowych </w:t>
            </w:r>
            <w:r w:rsidR="007C1E92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(</w:t>
            </w:r>
            <w:r w:rsidR="006550C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w zakresie </w:t>
            </w:r>
            <w:r w:rsidR="007C1E92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kosztów sieciowych)</w:t>
            </w:r>
            <w:r w:rsidR="00F636E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.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t xml:space="preserve"> Potencjalne korzyści z 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ewentualnie 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t>obniżonych stawek zmiennej i stałej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(choć w tym zakresie projekt nie przesądza)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t xml:space="preserve"> mogą nie zrekompensować strat związanych z utratą możliwości wspólnego rozliczania mocy dla kompleksu przemysłowego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.</w:t>
            </w:r>
            <w:r w:rsidR="00EE3963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R</w:t>
            </w:r>
            <w:r w:rsidR="00EE396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ozliczanie 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„</w:t>
            </w:r>
            <w:r w:rsidR="00EE3963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obiektu przemysłowego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”, (którego instalacje znajdują się w kilku lokalizacjach) –</w:t>
            </w:r>
            <w:r w:rsidR="00284B4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w zakresie opłaty stałej nie będzie możliwe łącznie dla kilku lokalizacji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– </w:t>
            </w:r>
            <w:r w:rsidR="00960A25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w przypadku wprowadzenia projektowanej definicji.</w:t>
            </w:r>
            <w:r w:rsidR="00960A25" w:rsidRPr="003A3899">
              <w:rPr>
                <w:rFonts w:ascii="Lato" w:hAnsi="Lato" w:cs="Times New Roman"/>
                <w:sz w:val="20"/>
                <w:szCs w:val="20"/>
              </w:rPr>
              <w:t xml:space="preserve"> K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ażda taka lokalizacji zostanie bowiem uznana za osobny obiekt</w:t>
            </w:r>
            <w:r w:rsidR="00960A25" w:rsidRPr="003A3899">
              <w:rPr>
                <w:rFonts w:ascii="Lato" w:hAnsi="Lato" w:cs="Times New Roman"/>
                <w:sz w:val="20"/>
                <w:szCs w:val="20"/>
              </w:rPr>
              <w:t xml:space="preserve"> (a</w:t>
            </w:r>
            <w:r w:rsidR="002C1C3A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960A25" w:rsidRPr="003A3899">
              <w:rPr>
                <w:rFonts w:ascii="Lato" w:hAnsi="Lato" w:cs="Times New Roman"/>
                <w:sz w:val="20"/>
                <w:szCs w:val="20"/>
              </w:rPr>
              <w:t xml:space="preserve">opłata stała będzie rozliczana </w:t>
            </w:r>
            <w:r w:rsidR="00960A25" w:rsidRPr="003A3899">
              <w:rPr>
                <w:rFonts w:ascii="Lato" w:hAnsi="Lato" w:cs="Times New Roman"/>
                <w:i/>
                <w:iCs/>
                <w:sz w:val="20"/>
                <w:szCs w:val="20"/>
              </w:rPr>
              <w:t>per</w:t>
            </w:r>
            <w:r w:rsidR="00960A25" w:rsidRPr="003A3899">
              <w:rPr>
                <w:rFonts w:ascii="Lato" w:hAnsi="Lato" w:cs="Times New Roman"/>
                <w:sz w:val="20"/>
                <w:szCs w:val="20"/>
              </w:rPr>
              <w:t xml:space="preserve"> obiekt)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. </w:t>
            </w:r>
            <w:r w:rsidR="00960A25" w:rsidRPr="003A3899">
              <w:rPr>
                <w:rFonts w:ascii="Lato" w:hAnsi="Lato" w:cs="Times New Roman"/>
                <w:sz w:val="20"/>
                <w:szCs w:val="20"/>
              </w:rPr>
              <w:t>Dla odbiorcy przemysłowego b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ędzie to oznaczało mniejszą elastyczność związaną z zarządzaniem zamówioną mocą w ramach wielu instalacji </w:t>
            </w:r>
            <w:r w:rsidR="00960A25" w:rsidRPr="003A3899">
              <w:rPr>
                <w:rFonts w:ascii="Lato" w:hAnsi="Lato" w:cs="Times New Roman"/>
                <w:sz w:val="20"/>
                <w:szCs w:val="20"/>
              </w:rPr>
              <w:t>(w praktyce konieczność zamawiania większej mocy dla poszczególnych obiektów – niż ta która jest zamawiana łącznie dla nich wszystkich. Ryzyko przekroczenia mocy na pojedynczej instalacji jest wszak większe niż na ich sumie.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7C1E92" w:rsidRPr="003A3899">
              <w:rPr>
                <w:rFonts w:ascii="Lato" w:hAnsi="Lato" w:cs="Times New Roman"/>
                <w:sz w:val="20"/>
                <w:szCs w:val="20"/>
              </w:rPr>
              <w:t>W e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t>fekcie dla takich struktur nowe rozwiązania nie przyniosą korzyści lecz wręcz przeciwnie pogorszą ich sytuację</w:t>
            </w:r>
            <w:r w:rsidR="00960A25" w:rsidRPr="003A3899">
              <w:rPr>
                <w:rFonts w:ascii="Lato" w:hAnsi="Lato" w:cs="Times New Roman"/>
                <w:sz w:val="20"/>
                <w:szCs w:val="20"/>
              </w:rPr>
              <w:t xml:space="preserve"> (zwiększone koszty zamawiania mocy i opłat za przekroczenie mocy nie zostaną pokryte obniżkami opłat stałych i zmiennych). </w:t>
            </w:r>
            <w:r w:rsidR="00960A25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Będzie to zatem sytuacja</w:t>
            </w:r>
            <w:r w:rsidR="00F636E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całkowicie sprzeczn</w:t>
            </w:r>
            <w:r w:rsidR="00960A25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  <w:r w:rsidR="00F636E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z celem wprowadzenia nowych rozwiązań.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F636E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Dlatego mając na uwadze</w:t>
            </w:r>
            <w:r w:rsidR="00960A25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powyższe, a także to</w:t>
            </w:r>
            <w:r w:rsidR="007C1E92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,</w:t>
            </w:r>
            <w:r w:rsidR="00F636E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że w obecnych ramach możliwe jest rozliczanie </w:t>
            </w:r>
            <w:r w:rsidR="00A9232C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instalacji przemysłowych, przyłączonych do sieci tego samego operatora, w oparciu</w:t>
            </w:r>
            <w:r w:rsidR="00F636E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o sumator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7C1E92" w:rsidRPr="003A3899">
              <w:rPr>
                <w:rFonts w:ascii="Lato" w:hAnsi="Lato" w:cs="Times New Roman"/>
                <w:sz w:val="20"/>
                <w:szCs w:val="20"/>
              </w:rPr>
              <w:t>(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t>por</w:t>
            </w:r>
            <w:r w:rsidR="007C1E92" w:rsidRPr="003A3899">
              <w:rPr>
                <w:rFonts w:ascii="Lato" w:hAnsi="Lato" w:cs="Times New Roman"/>
                <w:sz w:val="20"/>
                <w:szCs w:val="20"/>
              </w:rPr>
              <w:t>.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7C1E92" w:rsidRPr="003A3899">
              <w:rPr>
                <w:rFonts w:ascii="Lato" w:hAnsi="Lato" w:cs="Times New Roman"/>
                <w:sz w:val="20"/>
                <w:szCs w:val="20"/>
              </w:rPr>
              <w:t>§48 ust. 5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t xml:space="preserve"> rozporządzenia 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lastRenderedPageBreak/>
              <w:t>taryfowego</w:t>
            </w:r>
            <w:r w:rsidR="00284B4D" w:rsidRPr="003A3899">
              <w:rPr>
                <w:rFonts w:ascii="Lato" w:hAnsi="Lato" w:cs="Times New Roman"/>
                <w:sz w:val="20"/>
                <w:szCs w:val="20"/>
              </w:rPr>
              <w:t>)</w:t>
            </w:r>
            <w:r w:rsidR="00F636ED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7C1E92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- </w:t>
            </w:r>
            <w:r w:rsidR="00A9232C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instalacje</w:t>
            </w:r>
            <w:r w:rsidR="00284B4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tak </w:t>
            </w:r>
            <w:r w:rsidR="00A9232C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„</w:t>
            </w:r>
            <w:r w:rsidR="00284B4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łączone</w:t>
            </w:r>
            <w:r w:rsidR="00A9232C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”</w:t>
            </w:r>
            <w:r w:rsidR="00F636E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powinn</w:t>
            </w:r>
            <w:r w:rsidR="00284B4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y</w:t>
            </w:r>
            <w:r w:rsidR="00F636E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także </w:t>
            </w:r>
            <w:r w:rsidR="00A9232C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mieścić się w</w:t>
            </w:r>
            <w:r w:rsidR="00284B4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definicj</w:t>
            </w:r>
            <w:r w:rsidR="00A9232C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i</w:t>
            </w:r>
            <w:r w:rsidR="00284B4D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„obiektu przemysłowego”.</w:t>
            </w:r>
          </w:p>
          <w:p w14:paraId="07118DE1" w14:textId="77777777" w:rsidR="00EE3963" w:rsidRPr="003A3899" w:rsidRDefault="00EE3963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6B5F846B" w14:textId="09B20842" w:rsidR="00EE3963" w:rsidRPr="003A3899" w:rsidRDefault="00EE3963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Po drugie, </w:t>
            </w:r>
            <w:r w:rsidR="00CF62D6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ograniczenie na poziomie definicji pojęcia obiektu przemysłowego do infrastruktury wykorzystywanej wyłącznie przez jednego odbiorcę końcowego, generuje wątpliwości co do możliwości objęcia taką definicją kompleksów przemysłowych, w ramach których funkcjonuje zakładowa sieć dystrybucyjna, tzw. OSDn</w:t>
            </w:r>
            <w:r w:rsidR="00EE70D0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.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EE70D0" w:rsidRPr="003A3899">
              <w:rPr>
                <w:rFonts w:ascii="Lato" w:hAnsi="Lato" w:cs="Times New Roman"/>
                <w:sz w:val="20"/>
                <w:szCs w:val="20"/>
              </w:rPr>
              <w:t>N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ajwiększe zakłady przemysłowe </w:t>
            </w:r>
            <w:r w:rsidR="00EE70D0" w:rsidRPr="003A3899">
              <w:rPr>
                <w:rFonts w:ascii="Lato" w:hAnsi="Lato" w:cs="Times New Roman"/>
                <w:sz w:val="20"/>
                <w:szCs w:val="20"/>
              </w:rPr>
              <w:t>w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Polsce po zmianach w prawie energetycznym w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 xml:space="preserve"> latach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>2005-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2007 zobligowane zostały do uzyskania statusu 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>OSD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w zakresie zakładowych sieci rozdzielczych 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 xml:space="preserve">- 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jeżeli na 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 xml:space="preserve">ich 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>terenie funkcjon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>owały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różne podmioty zależne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>,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 xml:space="preserve"> zaopatrywane w energię z sieci zakładowej. Podmioty te to n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ajczęściej 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>jednostki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 xml:space="preserve"> powiązane lub 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>kooperanci głównego zakładu przemysłowego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>.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>W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takich 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>„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>strukturach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>”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 xml:space="preserve">energetycznych 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bardzo często przyłączenie </w:t>
            </w:r>
            <w:r w:rsidR="006B411F" w:rsidRPr="003A3899">
              <w:rPr>
                <w:rFonts w:ascii="Lato" w:hAnsi="Lato" w:cs="Times New Roman"/>
                <w:sz w:val="20"/>
                <w:szCs w:val="20"/>
              </w:rPr>
              <w:t xml:space="preserve">zakładu 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 xml:space="preserve">głównego 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do sieci operatora 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>nadrzędnego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odbywa się za pomocą 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 xml:space="preserve">stacji 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>transformatorowej</w:t>
            </w:r>
            <w:r w:rsidR="006B411F" w:rsidRPr="003A3899">
              <w:rPr>
                <w:rFonts w:ascii="Lato" w:hAnsi="Lato" w:cs="Times New Roman"/>
                <w:sz w:val="20"/>
                <w:szCs w:val="20"/>
              </w:rPr>
              <w:t xml:space="preserve"> WN</w:t>
            </w:r>
            <w:r w:rsidR="00D030C0" w:rsidRPr="003A3899">
              <w:rPr>
                <w:rFonts w:ascii="Lato" w:hAnsi="Lato" w:cs="Times New Roman"/>
                <w:sz w:val="20"/>
                <w:szCs w:val="20"/>
              </w:rPr>
              <w:t>,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która należy do zakładowej sieci rozdzielczej i jest wykorzystywana przede wszystkim na potrzeby 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 xml:space="preserve">własne 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>danego odbiorcy przemysłowego</w:t>
            </w:r>
            <w:r w:rsidR="006B411F" w:rsidRPr="003A3899">
              <w:rPr>
                <w:rFonts w:ascii="Lato" w:hAnsi="Lato" w:cs="Times New Roman"/>
                <w:sz w:val="20"/>
                <w:szCs w:val="20"/>
              </w:rPr>
              <w:t>,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3A3899" w:rsidRPr="003A3899">
              <w:rPr>
                <w:rFonts w:ascii="Lato" w:hAnsi="Lato" w:cs="Times New Roman"/>
                <w:b/>
                <w:bCs/>
                <w:sz w:val="20"/>
                <w:szCs w:val="20"/>
                <w:u w:val="single"/>
              </w:rPr>
              <w:t>lecz</w:t>
            </w:r>
            <w:r w:rsidR="00CF62D6" w:rsidRPr="003A3899">
              <w:rPr>
                <w:rFonts w:ascii="Lato" w:hAnsi="Lato" w:cs="Times New Roman"/>
                <w:b/>
                <w:bCs/>
                <w:sz w:val="20"/>
                <w:szCs w:val="20"/>
                <w:u w:val="single"/>
              </w:rPr>
              <w:t xml:space="preserve"> nie </w:t>
            </w:r>
            <w:r w:rsidR="006B411F" w:rsidRPr="003A3899">
              <w:rPr>
                <w:rFonts w:ascii="Lato" w:hAnsi="Lato" w:cs="Times New Roman"/>
                <w:b/>
                <w:bCs/>
                <w:sz w:val="20"/>
                <w:szCs w:val="20"/>
                <w:u w:val="single"/>
              </w:rPr>
              <w:t>„</w:t>
            </w:r>
            <w:r w:rsidR="00CF62D6" w:rsidRPr="003A3899">
              <w:rPr>
                <w:rFonts w:ascii="Lato" w:hAnsi="Lato" w:cs="Times New Roman"/>
                <w:b/>
                <w:bCs/>
                <w:sz w:val="20"/>
                <w:szCs w:val="20"/>
                <w:u w:val="single"/>
              </w:rPr>
              <w:t>wyłącznie</w:t>
            </w:r>
            <w:r w:rsidR="006B411F" w:rsidRPr="003A3899">
              <w:rPr>
                <w:rFonts w:ascii="Lato" w:hAnsi="Lato" w:cs="Times New Roman"/>
                <w:b/>
                <w:bCs/>
                <w:sz w:val="20"/>
                <w:szCs w:val="20"/>
                <w:u w:val="single"/>
              </w:rPr>
              <w:t>”</w:t>
            </w:r>
            <w:r w:rsidR="003A3899" w:rsidRPr="003A3899">
              <w:rPr>
                <w:rFonts w:ascii="Lato" w:hAnsi="Lato" w:cs="Times New Roman"/>
                <w:b/>
                <w:bCs/>
                <w:sz w:val="20"/>
                <w:szCs w:val="20"/>
                <w:u w:val="single"/>
              </w:rPr>
              <w:t>.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6B411F" w:rsidRPr="003A3899">
              <w:rPr>
                <w:rFonts w:ascii="Lato" w:hAnsi="Lato" w:cs="Times New Roman"/>
                <w:sz w:val="20"/>
                <w:szCs w:val="20"/>
              </w:rPr>
              <w:t>C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 xml:space="preserve">zęść energii </w:t>
            </w:r>
            <w:r w:rsidR="006B411F" w:rsidRPr="003A3899">
              <w:rPr>
                <w:rFonts w:ascii="Lato" w:hAnsi="Lato" w:cs="Times New Roman"/>
                <w:sz w:val="20"/>
                <w:szCs w:val="20"/>
              </w:rPr>
              <w:t>(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>zwykle</w:t>
            </w:r>
            <w:r w:rsidR="006B411F" w:rsidRPr="003A3899">
              <w:rPr>
                <w:rFonts w:ascii="Lato" w:hAnsi="Lato" w:cs="Times New Roman"/>
                <w:sz w:val="20"/>
                <w:szCs w:val="20"/>
              </w:rPr>
              <w:t xml:space="preserve"> mniej niż kilka %) </w:t>
            </w:r>
            <w:r w:rsidR="00CF62D6" w:rsidRPr="003A3899">
              <w:rPr>
                <w:rFonts w:ascii="Lato" w:hAnsi="Lato" w:cs="Times New Roman"/>
                <w:sz w:val="20"/>
                <w:szCs w:val="20"/>
              </w:rPr>
              <w:t>jest bowiem dostarczana także to podmiotów powiązanych.</w:t>
            </w:r>
            <w:r w:rsidR="006B411F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6B411F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Nie pozbawia to kompleksu i jego infrastruktury charakteru przemysłowego – nie powinno zatem eliminować z kategorii </w:t>
            </w:r>
            <w:r w:rsidR="00A9232C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„</w:t>
            </w:r>
            <w:r w:rsidR="006B411F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obiektów przemysłowych</w:t>
            </w:r>
            <w:r w:rsidR="00A9232C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”</w:t>
            </w:r>
            <w:r w:rsidR="006B411F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.</w:t>
            </w:r>
            <w:r w:rsidR="006B411F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</w:p>
          <w:p w14:paraId="116D5EC6" w14:textId="77777777" w:rsidR="003755F0" w:rsidRPr="003A3899" w:rsidRDefault="003755F0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1263D4FC" w14:textId="0DF3829A" w:rsidR="006F5DC8" w:rsidRPr="003A3899" w:rsidRDefault="002F2938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Jednocześnie należy zauważyć iż proponowane </w:t>
            </w:r>
            <w:r w:rsidR="00810B17" w:rsidRPr="003A3899">
              <w:rPr>
                <w:rFonts w:ascii="Lato" w:hAnsi="Lato" w:cs="Times New Roman"/>
                <w:sz w:val="20"/>
                <w:szCs w:val="20"/>
              </w:rPr>
              <w:t xml:space="preserve">wyżej 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zmiany w definicji</w:t>
            </w:r>
            <w:r w:rsidR="00810B17" w:rsidRPr="003A3899">
              <w:rPr>
                <w:rFonts w:ascii="Lato" w:hAnsi="Lato" w:cs="Times New Roman"/>
                <w:sz w:val="20"/>
                <w:szCs w:val="20"/>
              </w:rPr>
              <w:t xml:space="preserve"> obiektu przemysłowego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nie spowodują, że z taryf dedykowanych </w:t>
            </w:r>
            <w:r w:rsidR="00C50F61" w:rsidRPr="003A3899">
              <w:rPr>
                <w:rFonts w:ascii="Lato" w:hAnsi="Lato" w:cs="Times New Roman"/>
                <w:sz w:val="20"/>
                <w:szCs w:val="20"/>
              </w:rPr>
              <w:t xml:space="preserve">dużemu 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przemysłowi będą mogli korzystać inni odbiorcy. 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>O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graniczenie 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 xml:space="preserve">w tym zakresie 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wynika bowiem już z samego §7 ust.</w:t>
            </w:r>
            <w:r w:rsid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13 projektu, który jasno wskazuje, że z taryfy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 xml:space="preserve"> przemysłowej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korzysta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 xml:space="preserve"> tylko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C50F61" w:rsidRPr="003A3899">
              <w:rPr>
                <w:rFonts w:ascii="Lato" w:hAnsi="Lato" w:cs="Times New Roman"/>
                <w:sz w:val="20"/>
                <w:szCs w:val="20"/>
              </w:rPr>
              <w:t>„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odbiorca końcowy</w:t>
            </w:r>
            <w:r w:rsidR="00C50F61" w:rsidRPr="003A3899">
              <w:rPr>
                <w:rFonts w:ascii="Lato" w:hAnsi="Lato" w:cs="Times New Roman"/>
                <w:sz w:val="20"/>
                <w:szCs w:val="20"/>
              </w:rPr>
              <w:t>”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. Oznacza to, że tylko strumień energii wykorzystywany na użytek własny takiego odbiorcy (a nie dystrybuowany, czy udostępniany innym podmiotom np. na zasadach refaktury) będzie mógł korzystać z n</w:t>
            </w:r>
            <w:r w:rsidR="00C50F61" w:rsidRPr="003A3899">
              <w:rPr>
                <w:rFonts w:ascii="Lato" w:hAnsi="Lato" w:cs="Times New Roman"/>
                <w:sz w:val="20"/>
                <w:szCs w:val="20"/>
              </w:rPr>
              <w:t>iższych stawek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 xml:space="preserve"> (jest to prosta wynikowa definicji odbiorcy końcowego zawartej w prawie energetycznym)</w:t>
            </w:r>
            <w:r w:rsidR="00C50F61" w:rsidRPr="003A3899">
              <w:rPr>
                <w:rFonts w:ascii="Lato" w:hAnsi="Lato" w:cs="Times New Roman"/>
                <w:sz w:val="20"/>
                <w:szCs w:val="20"/>
              </w:rPr>
              <w:t xml:space="preserve">. W tym zakresie warto zwrócić uwagę, że od lat sprawnie funkcjonują </w:t>
            </w:r>
            <w:r w:rsidR="00810B17" w:rsidRPr="003A3899">
              <w:rPr>
                <w:rFonts w:ascii="Lato" w:hAnsi="Lato" w:cs="Times New Roman"/>
                <w:sz w:val="20"/>
                <w:szCs w:val="20"/>
              </w:rPr>
              <w:t>rozwiązania</w:t>
            </w:r>
            <w:r w:rsidR="00C50F61" w:rsidRPr="003A3899">
              <w:rPr>
                <w:rFonts w:ascii="Lato" w:hAnsi="Lato" w:cs="Times New Roman"/>
                <w:sz w:val="20"/>
                <w:szCs w:val="20"/>
              </w:rPr>
              <w:t xml:space="preserve"> dot. odbiorcy przemysłowego – pozwalające </w:t>
            </w:r>
            <w:r w:rsidR="00810B17" w:rsidRPr="003A3899">
              <w:rPr>
                <w:rFonts w:ascii="Lato" w:hAnsi="Lato" w:cs="Times New Roman"/>
                <w:sz w:val="20"/>
                <w:szCs w:val="20"/>
              </w:rPr>
              <w:t>zakładom przemysłowym o złożonej strukturze energetycznej na</w:t>
            </w:r>
            <w:r w:rsidR="00C50F61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810B17" w:rsidRPr="003A3899">
              <w:rPr>
                <w:rFonts w:ascii="Lato" w:hAnsi="Lato" w:cs="Times New Roman"/>
                <w:sz w:val="20"/>
                <w:szCs w:val="20"/>
              </w:rPr>
              <w:t>rozdzielenie</w:t>
            </w:r>
            <w:r w:rsidR="00C50F61" w:rsidRPr="003A3899">
              <w:rPr>
                <w:rFonts w:ascii="Lato" w:hAnsi="Lato" w:cs="Times New Roman"/>
                <w:sz w:val="20"/>
                <w:szCs w:val="20"/>
              </w:rPr>
              <w:t xml:space="preserve"> strumieni energii</w:t>
            </w:r>
            <w:r w:rsidR="00810B17" w:rsidRPr="003A3899">
              <w:rPr>
                <w:rFonts w:ascii="Lato" w:hAnsi="Lato" w:cs="Times New Roman"/>
                <w:sz w:val="20"/>
                <w:szCs w:val="20"/>
              </w:rPr>
              <w:t xml:space="preserve"> na potrzeby własne (korzystającego z preferencyjnych stawek opłaty OZE czy </w:t>
            </w:r>
            <w:r w:rsidR="00810B17" w:rsidRPr="003A3899">
              <w:rPr>
                <w:rFonts w:ascii="Lato" w:hAnsi="Lato" w:cs="Times New Roman"/>
                <w:sz w:val="20"/>
                <w:szCs w:val="20"/>
              </w:rPr>
              <w:lastRenderedPageBreak/>
              <w:t xml:space="preserve">kogeneracyjnej) od pozostałych strumieni (np. energii udostępnianej innym podmiotom). Odbywa się to bez konieczności zawężania grupy odbiorców przemysłowych jedynie do podmiotów, które pobierają energię </w:t>
            </w:r>
            <w:r w:rsidR="00810B17" w:rsidRPr="003A3899">
              <w:rPr>
                <w:rFonts w:ascii="Lato" w:hAnsi="Lato" w:cs="Times New Roman"/>
                <w:b/>
                <w:bCs/>
                <w:sz w:val="20"/>
                <w:szCs w:val="20"/>
                <w:u w:val="single"/>
              </w:rPr>
              <w:t>wyłącznie</w:t>
            </w:r>
            <w:r w:rsidR="00810B17" w:rsidRPr="003A3899">
              <w:rPr>
                <w:rFonts w:ascii="Lato" w:hAnsi="Lato" w:cs="Times New Roman"/>
                <w:sz w:val="20"/>
                <w:szCs w:val="20"/>
              </w:rPr>
              <w:t xml:space="preserve"> na użytek własny (przemysłowy). Oczywistym jest jednak, że tylko energia na użytek własny korzysta z ulg</w:t>
            </w:r>
            <w:r w:rsidR="006F5DC8" w:rsidRPr="003A3899">
              <w:rPr>
                <w:rFonts w:ascii="Lato" w:hAnsi="Lato" w:cs="Times New Roman"/>
                <w:sz w:val="20"/>
                <w:szCs w:val="20"/>
              </w:rPr>
              <w:t xml:space="preserve"> i jest traktowana jako zużycie odbiorcy przemysłowego</w:t>
            </w:r>
            <w:r w:rsidR="00810B17" w:rsidRPr="003A3899">
              <w:rPr>
                <w:rFonts w:ascii="Lato" w:hAnsi="Lato" w:cs="Times New Roman"/>
                <w:sz w:val="20"/>
                <w:szCs w:val="20"/>
              </w:rPr>
              <w:t>.</w:t>
            </w:r>
            <w:r w:rsidR="006F5DC8" w:rsidRPr="003A3899">
              <w:rPr>
                <w:rFonts w:ascii="Lato" w:hAnsi="Lato" w:cs="Times New Roman"/>
                <w:sz w:val="20"/>
                <w:szCs w:val="20"/>
              </w:rPr>
              <w:t xml:space="preserve"> Analogiczne podejście należałoby zastosować dla taryf dedykowanych obiektom przemysłowym.</w:t>
            </w:r>
          </w:p>
          <w:p w14:paraId="2D79E846" w14:textId="61139540" w:rsidR="003755F0" w:rsidRPr="003A3899" w:rsidRDefault="003755F0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D07FBA" w14:textId="6DC1D0B7" w:rsidR="00AB6DFC" w:rsidRPr="003A3899" w:rsidRDefault="00B7771A" w:rsidP="008B766F">
            <w:pPr>
              <w:jc w:val="both"/>
              <w:rPr>
                <w:rFonts w:ascii="Lato" w:hAnsi="Lato" w:cs="Times New Roman"/>
                <w:i/>
                <w:iCs/>
                <w:sz w:val="20"/>
                <w:szCs w:val="20"/>
              </w:rPr>
            </w:pPr>
            <w:r w:rsidRPr="003A3899">
              <w:rPr>
                <w:rFonts w:ascii="Lato" w:hAnsi="Lato"/>
                <w:i/>
                <w:iCs/>
                <w:sz w:val="20"/>
                <w:szCs w:val="20"/>
              </w:rPr>
              <w:lastRenderedPageBreak/>
              <w:t>obiekt przemysłowy – budynek lub budowlę w rozumieniu ustawy z dnia 7 lipca 1994 r. - Prawo budowlane (Dz. U. z 2026 r. poz. 524, 605 i 646), a także ich wyodrębnione części, albo zespół budynków lub budowli, mieszczące się pod jednym adresem lub w jednej lokalizacji</w:t>
            </w:r>
            <w:r w:rsidRPr="003A3899">
              <w:rPr>
                <w:rFonts w:ascii="Lato" w:hAnsi="Lato"/>
                <w:i/>
                <w:iCs/>
                <w:color w:val="EE0000"/>
                <w:sz w:val="20"/>
                <w:szCs w:val="20"/>
              </w:rPr>
              <w:t xml:space="preserve">, </w:t>
            </w:r>
            <w:r w:rsidRPr="003A3899">
              <w:rPr>
                <w:rFonts w:ascii="Lato" w:hAnsi="Lato"/>
                <w:b/>
                <w:bCs/>
                <w:i/>
                <w:iCs/>
                <w:color w:val="EE0000"/>
                <w:sz w:val="20"/>
                <w:szCs w:val="20"/>
              </w:rPr>
              <w:t>lub mieszczący się w kilku lokalizacjach, w których zgodnie z umową o świadczenie usług przesyłania lub dystrybucji energii elektrycznej albo z umową kompleksową moc pobrana przez taki zespół jest kontrolowana za pomocą sumatora,</w:t>
            </w:r>
            <w:r w:rsidRPr="003A3899">
              <w:rPr>
                <w:rFonts w:ascii="Lato" w:hAnsi="Lato"/>
                <w:i/>
                <w:iCs/>
                <w:sz w:val="20"/>
                <w:szCs w:val="20"/>
              </w:rPr>
              <w:t xml:space="preserve"> tworzący zorganizowany funkcjonalnie i technicznie zespół urządzeń technicznych</w:t>
            </w:r>
            <w:r w:rsidR="00BD4E2A" w:rsidRPr="003A3899">
              <w:rPr>
                <w:rFonts w:ascii="Lato" w:hAnsi="Lato"/>
                <w:i/>
                <w:iCs/>
                <w:sz w:val="20"/>
                <w:szCs w:val="20"/>
              </w:rPr>
              <w:t>,</w:t>
            </w:r>
            <w:r w:rsidRPr="003A3899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3A3899">
              <w:rPr>
                <w:rFonts w:ascii="Lato" w:hAnsi="Lato"/>
                <w:b/>
                <w:bCs/>
                <w:i/>
                <w:iCs/>
                <w:strike/>
                <w:sz w:val="20"/>
                <w:szCs w:val="20"/>
              </w:rPr>
              <w:t>połączonych sieciami lub instalacjami elektroenergetycznymi użytkowanymi przez jednego odbiorcę końcowego, zasilany energią elektryczną przy wykorzystaniu jednego lub więcej przyłączy tworzących kompletny układ zasilania i</w:t>
            </w:r>
            <w:r w:rsidRPr="003A3899">
              <w:rPr>
                <w:rFonts w:ascii="Lato" w:hAnsi="Lato"/>
                <w:i/>
                <w:iCs/>
                <w:sz w:val="20"/>
                <w:szCs w:val="20"/>
              </w:rPr>
              <w:t xml:space="preserve"> w którym energia elektryczna wykorzystywana jest </w:t>
            </w:r>
            <w:r w:rsidRPr="003A3899">
              <w:rPr>
                <w:rFonts w:ascii="Lato" w:hAnsi="Lato"/>
                <w:i/>
                <w:iCs/>
                <w:strike/>
                <w:sz w:val="20"/>
                <w:szCs w:val="20"/>
              </w:rPr>
              <w:t>wyłącznie</w:t>
            </w:r>
            <w:r w:rsidRPr="003A3899">
              <w:rPr>
                <w:rFonts w:ascii="Lato" w:hAnsi="Lato"/>
                <w:i/>
                <w:iCs/>
                <w:sz w:val="20"/>
                <w:szCs w:val="20"/>
              </w:rPr>
              <w:t xml:space="preserve"> na potrzeby realizacji, w ramach prowadzonej działalności gospodarczej, procesów przemysłowych rozumianych jako powiązany technologicznie ciąg czynności lub operacji wykonywanych przy użyciu maszyn, urządzeń, instalacji lub linii technologicznych, których bezpośrednim celem jest </w:t>
            </w:r>
            <w:r w:rsidRPr="003A3899">
              <w:rPr>
                <w:rFonts w:ascii="Lato" w:hAnsi="Lato"/>
                <w:b/>
                <w:bCs/>
                <w:i/>
                <w:iCs/>
                <w:color w:val="EE0000"/>
                <w:sz w:val="20"/>
                <w:szCs w:val="20"/>
              </w:rPr>
              <w:t>pozyskanie</w:t>
            </w:r>
            <w:r w:rsidRPr="003A3899">
              <w:rPr>
                <w:rFonts w:ascii="Lato" w:hAnsi="Lato"/>
                <w:i/>
                <w:iCs/>
                <w:sz w:val="20"/>
                <w:szCs w:val="20"/>
              </w:rPr>
              <w:t>, wytworzenie, przetworzenie, obróbka, uszlachetnienie, montaż albo przygotowanie produktów, półproduktów lub surowców, wraz z procesami pomocniczymi niezbędnymi do ich prowadzenia, jeżeli pozostają one w bezpośrednim związku funkcjonalnym z tymi czynnościami.</w:t>
            </w:r>
          </w:p>
        </w:tc>
      </w:tr>
      <w:tr w:rsidR="00AB6DFC" w:rsidRPr="003A3899" w14:paraId="574FF95B" w14:textId="77777777" w:rsidTr="003A3899">
        <w:tc>
          <w:tcPr>
            <w:tcW w:w="562" w:type="dxa"/>
          </w:tcPr>
          <w:p w14:paraId="590D690B" w14:textId="321DEEE7" w:rsidR="00AB6DFC" w:rsidRPr="003A3899" w:rsidRDefault="00AB6DF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01" w:type="dxa"/>
          </w:tcPr>
          <w:p w14:paraId="7283C367" w14:textId="0B9002F3" w:rsidR="00AB6DFC" w:rsidRPr="003A3899" w:rsidRDefault="00700199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700199">
              <w:rPr>
                <w:rFonts w:ascii="Lato" w:hAnsi="Lato" w:cs="Times New Roman"/>
                <w:sz w:val="20"/>
                <w:szCs w:val="20"/>
              </w:rPr>
              <w:t>Związek Pracodawców Polska Miedź</w:t>
            </w:r>
          </w:p>
        </w:tc>
        <w:tc>
          <w:tcPr>
            <w:tcW w:w="1843" w:type="dxa"/>
          </w:tcPr>
          <w:p w14:paraId="43EC42A6" w14:textId="6A2C3A39" w:rsidR="00AB6DFC" w:rsidRPr="003A3899" w:rsidRDefault="00E10AA4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>§7 ust. 14</w:t>
            </w:r>
          </w:p>
        </w:tc>
        <w:tc>
          <w:tcPr>
            <w:tcW w:w="6379" w:type="dxa"/>
          </w:tcPr>
          <w:p w14:paraId="59C5BA70" w14:textId="6019D652" w:rsidR="00AB6DFC" w:rsidRPr="003A3899" w:rsidRDefault="00E10AA4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Zmiana wynikowa związana z </w:t>
            </w:r>
            <w:r w:rsidR="00682826" w:rsidRPr="003A3899">
              <w:rPr>
                <w:rFonts w:ascii="Lato" w:hAnsi="Lato" w:cs="Times New Roman"/>
                <w:sz w:val="20"/>
                <w:szCs w:val="20"/>
              </w:rPr>
              <w:t>proponowanymi zmianami w zakresie definicji obiektu przemysłowego. Obiekt powinien mieć możliwość posiadania kilku miejsc dostarczania energii rozpatrywanych łącznie.</w:t>
            </w:r>
          </w:p>
        </w:tc>
        <w:tc>
          <w:tcPr>
            <w:tcW w:w="3827" w:type="dxa"/>
          </w:tcPr>
          <w:p w14:paraId="0461DAC2" w14:textId="77777777" w:rsidR="00E10AA4" w:rsidRPr="003A3899" w:rsidRDefault="00E10AA4" w:rsidP="00E10AA4">
            <w:pPr>
              <w:jc w:val="both"/>
              <w:rPr>
                <w:rFonts w:ascii="Lato" w:eastAsia="Times" w:hAnsi="Lato" w:cs="Times"/>
                <w:i/>
                <w:iCs/>
                <w:sz w:val="20"/>
                <w:szCs w:val="20"/>
              </w:rPr>
            </w:pPr>
            <w:r w:rsidRPr="003A3899">
              <w:rPr>
                <w:rFonts w:ascii="Lato" w:eastAsia="Times" w:hAnsi="Lato" w:cs="Times"/>
                <w:i/>
                <w:iCs/>
                <w:sz w:val="20"/>
                <w:szCs w:val="20"/>
              </w:rPr>
              <w:t xml:space="preserve">14. Spełnienie warunku, o którym mowa w ust. 13 pkt 3, ocenia się łącznie dla wszystkich punktów </w:t>
            </w:r>
            <w:r w:rsidRPr="003A3899">
              <w:rPr>
                <w:rFonts w:ascii="Lato" w:eastAsia="Times" w:hAnsi="Lato" w:cs="Times"/>
                <w:b/>
                <w:bCs/>
                <w:i/>
                <w:iCs/>
                <w:strike/>
                <w:sz w:val="20"/>
                <w:szCs w:val="20"/>
              </w:rPr>
              <w:t>wchodzących w skład tego samego miejsca dostarczania energii elektrycznej</w:t>
            </w:r>
            <w:r w:rsidRPr="003A3899">
              <w:rPr>
                <w:rFonts w:ascii="Lato" w:eastAsia="Times" w:hAnsi="Lato" w:cs="Times"/>
                <w:i/>
                <w:iCs/>
                <w:sz w:val="20"/>
                <w:szCs w:val="20"/>
              </w:rPr>
              <w:t xml:space="preserve"> w obiekcie przemysłowym, o którym mowa w ust. 13 pkt 2, przyłączonych bezpośrednio do sieci elektroenergetycznej na tym samym poziomie napięcia równym lub wyższym niż 110 kV.</w:t>
            </w:r>
          </w:p>
          <w:p w14:paraId="118E3641" w14:textId="77777777" w:rsidR="00AB6DFC" w:rsidRPr="003A3899" w:rsidRDefault="00AB6DF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AB6DFC" w:rsidRPr="003A3899" w14:paraId="597EDC07" w14:textId="77777777" w:rsidTr="003A3899">
        <w:tc>
          <w:tcPr>
            <w:tcW w:w="562" w:type="dxa"/>
          </w:tcPr>
          <w:p w14:paraId="513652BE" w14:textId="5481CAA8" w:rsidR="00AB6DFC" w:rsidRPr="003A3899" w:rsidRDefault="00AB6DF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C112C99" w14:textId="285792E5" w:rsidR="00AB6DFC" w:rsidRPr="003A3899" w:rsidRDefault="00700199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700199">
              <w:rPr>
                <w:rFonts w:ascii="Lato" w:hAnsi="Lato" w:cs="Times New Roman"/>
                <w:sz w:val="20"/>
                <w:szCs w:val="20"/>
              </w:rPr>
              <w:t>Związek Pracodawców Polska Miedź</w:t>
            </w:r>
          </w:p>
        </w:tc>
        <w:tc>
          <w:tcPr>
            <w:tcW w:w="1843" w:type="dxa"/>
          </w:tcPr>
          <w:p w14:paraId="29E8C0CD" w14:textId="5944DF76" w:rsidR="00AB6DFC" w:rsidRPr="003A3899" w:rsidRDefault="002866A5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>§7 ust. 15</w:t>
            </w:r>
          </w:p>
        </w:tc>
        <w:tc>
          <w:tcPr>
            <w:tcW w:w="6379" w:type="dxa"/>
          </w:tcPr>
          <w:p w14:paraId="7FCA3A98" w14:textId="0235A25D" w:rsidR="00AB4A0A" w:rsidRPr="003A3899" w:rsidRDefault="002866A5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Projekt rozporządzenia zmierza w słusznym kierunku wyodrębnienia obiektów/odbiorców przemysłowych 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>j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ako odrębnej grupy taryfowej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>, którym dedykowane są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>n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iższe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 xml:space="preserve"> s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tawki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 xml:space="preserve"> sieciowe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.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 xml:space="preserve"> W uzasadnieniu projektu 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właściwie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 xml:space="preserve"> zdiagnozowano, że przemysł energochłonny w dużej mierze (na skutek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m.in.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 xml:space="preserve"> dużych poborów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 xml:space="preserve"> energii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 xml:space="preserve">, przewidywalnego profilu i 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mniejszych strat związanych z odbiorem energii na wysoki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>m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napięci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>u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>) zapewnia stabilność działania systemu elektroenergetycznego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,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 xml:space="preserve"> ponosi jednak też największe koszty jego utrzymania. Dalsza presja kosztowa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 xml:space="preserve"> w tym obszarze</w:t>
            </w:r>
            <w:r w:rsidR="00AB4A0A" w:rsidRPr="003A3899">
              <w:rPr>
                <w:rFonts w:ascii="Lato" w:hAnsi="Lato" w:cs="Times New Roman"/>
                <w:sz w:val="20"/>
                <w:szCs w:val="20"/>
              </w:rPr>
              <w:t xml:space="preserve"> może powodować „ucieczkę” przemysłu energochłonnego z kraju – co niekorzystnie wpłynie na KSE. Stąd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tak ważne jest zapewnienie przemysłowi możliwości korzystania z niższych opłat</w:t>
            </w:r>
            <w:r w:rsidR="00A9232C" w:rsidRPr="003A3899">
              <w:rPr>
                <w:rFonts w:ascii="Lato" w:hAnsi="Lato" w:cs="Times New Roman"/>
                <w:sz w:val="20"/>
                <w:szCs w:val="20"/>
              </w:rPr>
              <w:t>, które umożliwią mu przynajmniej porównywalne warunki kosztowe jak w innych krajach.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</w:p>
          <w:p w14:paraId="2E935DBE" w14:textId="77777777" w:rsidR="00AB4A0A" w:rsidRPr="003A3899" w:rsidRDefault="00AB4A0A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166F0F6C" w14:textId="11EE7061" w:rsidR="004A1BC3" w:rsidRPr="003A3899" w:rsidRDefault="002866A5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Zaproponowane 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w projekcie 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rozwiązania </w:t>
            </w:r>
            <w:r w:rsidR="00085950" w:rsidRPr="003A3899">
              <w:rPr>
                <w:rFonts w:ascii="Lato" w:hAnsi="Lato" w:cs="Times New Roman"/>
                <w:sz w:val="20"/>
                <w:szCs w:val="20"/>
              </w:rPr>
              <w:t xml:space="preserve">powyższego jednak nie 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gwarantują. 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Projekt przewiduj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>e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bowiem jedynie minimalną wysokość 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staw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ek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 xml:space="preserve"> sieciowych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zmiennej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i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stałej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.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O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stateczna 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 xml:space="preserve">ich 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wysokość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, w </w:t>
            </w:r>
            <w:r w:rsidR="00085950" w:rsidRPr="003A3899">
              <w:rPr>
                <w:rFonts w:ascii="Lato" w:hAnsi="Lato" w:cs="Times New Roman"/>
                <w:sz w:val="20"/>
                <w:szCs w:val="20"/>
              </w:rPr>
              <w:t xml:space="preserve">tym 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>to czy będą one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obniż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>on</w:t>
            </w:r>
            <w:r w:rsidR="00085950" w:rsidRPr="003A3899">
              <w:rPr>
                <w:rFonts w:ascii="Lato" w:hAnsi="Lato" w:cs="Times New Roman"/>
                <w:sz w:val="20"/>
                <w:szCs w:val="20"/>
              </w:rPr>
              <w:t>e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względem stawek podstawowych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 xml:space="preserve"> nie jest </w:t>
            </w:r>
            <w:r w:rsidR="00085950" w:rsidRPr="003A3899">
              <w:rPr>
                <w:rFonts w:ascii="Lato" w:hAnsi="Lato" w:cs="Times New Roman"/>
                <w:sz w:val="20"/>
                <w:szCs w:val="20"/>
              </w:rPr>
              <w:t xml:space="preserve">zatem 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przesądzon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e</w:t>
            </w:r>
            <w:r w:rsidRPr="003A3899">
              <w:rPr>
                <w:rFonts w:ascii="Lato" w:hAnsi="Lato" w:cs="Times New Roman"/>
                <w:sz w:val="20"/>
                <w:szCs w:val="20"/>
              </w:rPr>
              <w:t>.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>Decyzja w tym zakresie z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ostał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>a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pozostawion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>a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lastRenderedPageBreak/>
              <w:t xml:space="preserve">całkowicie </w:t>
            </w:r>
            <w:r w:rsidR="004A1BC3" w:rsidRPr="003A3899">
              <w:rPr>
                <w:rFonts w:ascii="Lato" w:hAnsi="Lato" w:cs="Times New Roman"/>
                <w:sz w:val="20"/>
                <w:szCs w:val="20"/>
              </w:rPr>
              <w:t>operatorom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 xml:space="preserve"> kalkulującym taryfy. Można zakładać, że będzie to decyzja </w:t>
            </w:r>
            <w:r w:rsidR="00085950" w:rsidRPr="003A3899">
              <w:rPr>
                <w:rFonts w:ascii="Lato" w:hAnsi="Lato" w:cs="Times New Roman"/>
                <w:sz w:val="20"/>
                <w:szCs w:val="20"/>
              </w:rPr>
              <w:t>wysoce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 xml:space="preserve"> uznaniowa,</w:t>
            </w:r>
            <w:r w:rsidR="00085950" w:rsidRPr="003A3899">
              <w:rPr>
                <w:rFonts w:ascii="Lato" w:hAnsi="Lato" w:cs="Times New Roman"/>
                <w:sz w:val="20"/>
                <w:szCs w:val="20"/>
              </w:rPr>
              <w:t xml:space="preserve"> której prawidłowości nie sposób będzie zakwestionować. 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085950" w:rsidRPr="003A3899">
              <w:rPr>
                <w:rFonts w:ascii="Lato" w:hAnsi="Lato" w:cs="Times New Roman"/>
                <w:sz w:val="20"/>
                <w:szCs w:val="20"/>
              </w:rPr>
              <w:t>Projekt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 xml:space="preserve"> nie zawiera </w:t>
            </w:r>
            <w:r w:rsidR="00085950" w:rsidRPr="003A3899">
              <w:rPr>
                <w:rFonts w:ascii="Lato" w:hAnsi="Lato" w:cs="Times New Roman"/>
                <w:sz w:val="20"/>
                <w:szCs w:val="20"/>
              </w:rPr>
              <w:t xml:space="preserve">bowiem 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 xml:space="preserve">żadnych kryteriów takiej kalkulacji – w związku z czym Prezes URE nie będzie miał też podstaw (innych niż ogólne) do ich </w:t>
            </w:r>
            <w:r w:rsidR="00085950" w:rsidRPr="003A3899">
              <w:rPr>
                <w:rFonts w:ascii="Lato" w:hAnsi="Lato" w:cs="Times New Roman"/>
                <w:sz w:val="20"/>
                <w:szCs w:val="20"/>
              </w:rPr>
              <w:t>weryfikacji</w:t>
            </w:r>
            <w:r w:rsidR="00FE783B" w:rsidRPr="003A3899">
              <w:rPr>
                <w:rFonts w:ascii="Lato" w:hAnsi="Lato" w:cs="Times New Roman"/>
                <w:sz w:val="20"/>
                <w:szCs w:val="20"/>
              </w:rPr>
              <w:t>.</w:t>
            </w:r>
          </w:p>
          <w:p w14:paraId="0EA8288E" w14:textId="77777777" w:rsidR="004A1BC3" w:rsidRPr="003A3899" w:rsidRDefault="004A1BC3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61393C6E" w14:textId="7CFD2EE5" w:rsidR="00AB6DFC" w:rsidRPr="003A3899" w:rsidRDefault="00FE783B" w:rsidP="008B766F">
            <w:pPr>
              <w:jc w:val="both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Dlatego postulujemy, aby proponowane w</w:t>
            </w:r>
            <w:r w:rsidR="00085950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ysokości stawek w rozporządzeniu 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>nie były wartościami minimalnymi, lecz wiążącymi. Da to szanse na realne wsparcie krajowego przemysłu</w:t>
            </w:r>
            <w:r w:rsidR="00085950"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– przez zapewnienie przewidywalnych obniżek.</w:t>
            </w:r>
            <w:r w:rsidRPr="003A3899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1A08B1BF" w14:textId="6A80868C" w:rsidR="00682826" w:rsidRPr="003A3899" w:rsidRDefault="00682826" w:rsidP="00682826">
            <w:pPr>
              <w:jc w:val="both"/>
              <w:rPr>
                <w:rFonts w:ascii="Lato" w:eastAsia="Times" w:hAnsi="Lato" w:cs="Times"/>
                <w:i/>
                <w:iCs/>
                <w:sz w:val="20"/>
                <w:szCs w:val="20"/>
              </w:rPr>
            </w:pPr>
            <w:r w:rsidRPr="003A3899">
              <w:rPr>
                <w:rFonts w:ascii="Lato" w:eastAsia="Times" w:hAnsi="Lato" w:cs="Times"/>
                <w:i/>
                <w:iCs/>
                <w:sz w:val="20"/>
                <w:szCs w:val="20"/>
              </w:rPr>
              <w:lastRenderedPageBreak/>
              <w:t>W odniesieniu do odbiorców końcowych, o których mowa w ust. 13, w zakresie dostaw do obiektu przemysłowego, dla którego spełnione zostały warunki określone w ust. 13, w danym roku obowiązują stawki opłat w wysokości jak dla wielostrefowej grupy taryfowej dla odbiorców zużywających energię elektryczną na własne potrzeby niezwiązane z magazynowaniem, wytwarzaniem, przesyłaniem lub dystrybucją energii elektrycznej, z tym że przedsiębiorstwo energetyczne stosuje, w roku, w którym odbiorca spełnia warunki określone w ust. 13, stawki opłat:</w:t>
            </w:r>
          </w:p>
          <w:p w14:paraId="5A97B7B0" w14:textId="77777777" w:rsidR="00682826" w:rsidRPr="003A3899" w:rsidRDefault="00682826" w:rsidP="00682826">
            <w:pPr>
              <w:pStyle w:val="Akapitzlist"/>
              <w:numPr>
                <w:ilvl w:val="0"/>
                <w:numId w:val="1"/>
              </w:numPr>
              <w:ind w:left="317" w:hanging="317"/>
              <w:jc w:val="both"/>
              <w:rPr>
                <w:rFonts w:ascii="Lato" w:eastAsia="Times" w:hAnsi="Lato" w:cs="Times"/>
                <w:i/>
                <w:iCs/>
              </w:rPr>
            </w:pPr>
            <w:r w:rsidRPr="003A3899">
              <w:rPr>
                <w:rFonts w:ascii="Lato" w:eastAsia="Times" w:hAnsi="Lato" w:cs="Times"/>
                <w:i/>
                <w:iCs/>
              </w:rPr>
              <w:t xml:space="preserve">w wysokości </w:t>
            </w:r>
            <w:r w:rsidRPr="003A3899">
              <w:rPr>
                <w:rFonts w:ascii="Lato" w:eastAsia="Times" w:hAnsi="Lato" w:cs="Times"/>
                <w:b/>
                <w:bCs/>
                <w:i/>
                <w:iCs/>
                <w:strike/>
              </w:rPr>
              <w:t>nie niższej niż</w:t>
            </w:r>
            <w:r w:rsidRPr="003A3899">
              <w:rPr>
                <w:rFonts w:ascii="Lato" w:eastAsia="Times" w:hAnsi="Lato" w:cs="Times"/>
                <w:i/>
                <w:iCs/>
              </w:rPr>
              <w:t xml:space="preserve"> 50% składnika zmiennego stawki sieciowej obowiązującej w takiej grupie taryfowej;</w:t>
            </w:r>
          </w:p>
          <w:p w14:paraId="096EC9D6" w14:textId="77777777" w:rsidR="00682826" w:rsidRPr="003A3899" w:rsidRDefault="00682826" w:rsidP="00682826">
            <w:pPr>
              <w:pStyle w:val="Akapitzlist"/>
              <w:numPr>
                <w:ilvl w:val="0"/>
                <w:numId w:val="1"/>
              </w:numPr>
              <w:ind w:left="317" w:hanging="317"/>
              <w:jc w:val="both"/>
              <w:rPr>
                <w:rFonts w:ascii="Lato" w:eastAsia="Times" w:hAnsi="Lato" w:cs="Times"/>
                <w:i/>
                <w:iCs/>
              </w:rPr>
            </w:pPr>
            <w:r w:rsidRPr="003A3899">
              <w:rPr>
                <w:rFonts w:ascii="Lato" w:eastAsia="Times" w:hAnsi="Lato" w:cs="Times"/>
                <w:i/>
                <w:iCs/>
              </w:rPr>
              <w:t xml:space="preserve">w wysokości </w:t>
            </w:r>
            <w:r w:rsidRPr="003A3899">
              <w:rPr>
                <w:rFonts w:ascii="Lato" w:eastAsia="Times" w:hAnsi="Lato" w:cs="Times"/>
                <w:b/>
                <w:bCs/>
                <w:i/>
                <w:iCs/>
                <w:strike/>
              </w:rPr>
              <w:t>nie niższej niż</w:t>
            </w:r>
            <w:r w:rsidRPr="003A3899">
              <w:rPr>
                <w:rFonts w:ascii="Lato" w:eastAsia="Times" w:hAnsi="Lato" w:cs="Times"/>
                <w:i/>
                <w:iCs/>
              </w:rPr>
              <w:t xml:space="preserve"> 90% składnika stałego stawki sieciowej </w:t>
            </w:r>
            <w:r w:rsidRPr="003A3899">
              <w:rPr>
                <w:rFonts w:ascii="Lato" w:eastAsia="Times" w:hAnsi="Lato" w:cs="Times"/>
                <w:i/>
                <w:iCs/>
              </w:rPr>
              <w:lastRenderedPageBreak/>
              <w:t>obowiązującego w takiej grupie taryfowej.</w:t>
            </w:r>
          </w:p>
          <w:p w14:paraId="6BD03E7F" w14:textId="77777777" w:rsidR="00AB6DFC" w:rsidRPr="003A3899" w:rsidRDefault="00AB6DFC" w:rsidP="008B766F">
            <w:pPr>
              <w:jc w:val="both"/>
              <w:rPr>
                <w:rFonts w:ascii="Lato" w:hAnsi="Lato" w:cs="Times New Roman"/>
                <w:i/>
                <w:iCs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3A3899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3A3899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CC2CF" w14:textId="77777777" w:rsidR="008A2E67" w:rsidRDefault="008A2E67" w:rsidP="00CA2841">
      <w:pPr>
        <w:spacing w:after="0" w:line="240" w:lineRule="auto"/>
      </w:pPr>
      <w:r>
        <w:separator/>
      </w:r>
    </w:p>
  </w:endnote>
  <w:endnote w:type="continuationSeparator" w:id="0">
    <w:p w14:paraId="60A27267" w14:textId="77777777" w:rsidR="008A2E67" w:rsidRDefault="008A2E67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0129E" w14:textId="77777777" w:rsidR="008A2E67" w:rsidRDefault="008A2E67" w:rsidP="00CA2841">
      <w:pPr>
        <w:spacing w:after="0" w:line="240" w:lineRule="auto"/>
      </w:pPr>
      <w:r>
        <w:separator/>
      </w:r>
    </w:p>
  </w:footnote>
  <w:footnote w:type="continuationSeparator" w:id="0">
    <w:p w14:paraId="6B5B0A0E" w14:textId="77777777" w:rsidR="008A2E67" w:rsidRDefault="008A2E67" w:rsidP="00CA2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E6306"/>
    <w:multiLevelType w:val="hybridMultilevel"/>
    <w:tmpl w:val="444CA93A"/>
    <w:lvl w:ilvl="0" w:tplc="7D2A1788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134912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06D41"/>
    <w:rsid w:val="00085950"/>
    <w:rsid w:val="000F7E41"/>
    <w:rsid w:val="00166CFE"/>
    <w:rsid w:val="00173E53"/>
    <w:rsid w:val="0019568F"/>
    <w:rsid w:val="001B734F"/>
    <w:rsid w:val="001E4824"/>
    <w:rsid w:val="001F6727"/>
    <w:rsid w:val="00284B4D"/>
    <w:rsid w:val="002866A5"/>
    <w:rsid w:val="002C1C3A"/>
    <w:rsid w:val="002F2938"/>
    <w:rsid w:val="003755F0"/>
    <w:rsid w:val="00382EE5"/>
    <w:rsid w:val="003A0344"/>
    <w:rsid w:val="003A3899"/>
    <w:rsid w:val="003B5BBB"/>
    <w:rsid w:val="00435D45"/>
    <w:rsid w:val="004A1BC3"/>
    <w:rsid w:val="004F2D1D"/>
    <w:rsid w:val="005107FC"/>
    <w:rsid w:val="00597D98"/>
    <w:rsid w:val="005E19A1"/>
    <w:rsid w:val="005F7D4D"/>
    <w:rsid w:val="006550C3"/>
    <w:rsid w:val="0065784C"/>
    <w:rsid w:val="00682826"/>
    <w:rsid w:val="006B411F"/>
    <w:rsid w:val="006F5DC8"/>
    <w:rsid w:val="00700199"/>
    <w:rsid w:val="00773DAD"/>
    <w:rsid w:val="007C1E92"/>
    <w:rsid w:val="00810B17"/>
    <w:rsid w:val="00865444"/>
    <w:rsid w:val="00892321"/>
    <w:rsid w:val="00894A9F"/>
    <w:rsid w:val="00894E5C"/>
    <w:rsid w:val="008A2E67"/>
    <w:rsid w:val="008A4530"/>
    <w:rsid w:val="008B1756"/>
    <w:rsid w:val="008B766F"/>
    <w:rsid w:val="0090574C"/>
    <w:rsid w:val="00934B37"/>
    <w:rsid w:val="00960A25"/>
    <w:rsid w:val="009B5AD6"/>
    <w:rsid w:val="009C5AD0"/>
    <w:rsid w:val="009E0FB1"/>
    <w:rsid w:val="009E504D"/>
    <w:rsid w:val="00A01497"/>
    <w:rsid w:val="00A14E1D"/>
    <w:rsid w:val="00A514BC"/>
    <w:rsid w:val="00A9232C"/>
    <w:rsid w:val="00AB4A0A"/>
    <w:rsid w:val="00AB6DFC"/>
    <w:rsid w:val="00B7771A"/>
    <w:rsid w:val="00B829F8"/>
    <w:rsid w:val="00B91BB7"/>
    <w:rsid w:val="00BD4E2A"/>
    <w:rsid w:val="00C50F61"/>
    <w:rsid w:val="00C93278"/>
    <w:rsid w:val="00C9569A"/>
    <w:rsid w:val="00CA2841"/>
    <w:rsid w:val="00CD3075"/>
    <w:rsid w:val="00CF62D6"/>
    <w:rsid w:val="00D030C0"/>
    <w:rsid w:val="00D35962"/>
    <w:rsid w:val="00D575A7"/>
    <w:rsid w:val="00DE7FB1"/>
    <w:rsid w:val="00E10AA4"/>
    <w:rsid w:val="00E3490E"/>
    <w:rsid w:val="00E40E3D"/>
    <w:rsid w:val="00E55D69"/>
    <w:rsid w:val="00E97568"/>
    <w:rsid w:val="00EB31B4"/>
    <w:rsid w:val="00EC4C43"/>
    <w:rsid w:val="00EC6214"/>
    <w:rsid w:val="00EE3963"/>
    <w:rsid w:val="00EE70D0"/>
    <w:rsid w:val="00EF494C"/>
    <w:rsid w:val="00F636ED"/>
    <w:rsid w:val="00FC01D9"/>
    <w:rsid w:val="00FD1A90"/>
    <w:rsid w:val="00FE6432"/>
    <w:rsid w:val="00FE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7771A"/>
    <w:pPr>
      <w:spacing w:after="0" w:line="240" w:lineRule="auto"/>
    </w:pPr>
  </w:style>
  <w:style w:type="paragraph" w:styleId="Akapitzlist">
    <w:name w:val="List Paragraph"/>
    <w:basedOn w:val="Normalny"/>
    <w:uiPriority w:val="99"/>
    <w:rsid w:val="00682826"/>
    <w:pPr>
      <w:spacing w:after="0" w:line="240" w:lineRule="atLeast"/>
      <w:ind w:left="720"/>
      <w:contextualSpacing/>
    </w:pPr>
    <w:rPr>
      <w:rFonts w:ascii="Times" w:eastAsia="Times New Roman" w:hAnsi="Times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1693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Tomasz Kuydowicz</cp:lastModifiedBy>
  <cp:revision>6</cp:revision>
  <dcterms:created xsi:type="dcterms:W3CDTF">2026-07-23T06:49:00Z</dcterms:created>
  <dcterms:modified xsi:type="dcterms:W3CDTF">2026-07-24T08:49:00Z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a5d7e0-a6ae-47b8-8592-eac7f470fba7_Enabled">
    <vt:lpwstr>true</vt:lpwstr>
  </property>
  <property fmtid="{D5CDD505-2E9C-101B-9397-08002B2CF9AE}" pid="3" name="MSIP_Label_fda5d7e0-a6ae-47b8-8592-eac7f470fba7_SetDate">
    <vt:lpwstr>2026-07-23T06:49:19Z</vt:lpwstr>
  </property>
  <property fmtid="{D5CDD505-2E9C-101B-9397-08002B2CF9AE}" pid="4" name="MSIP_Label_fda5d7e0-a6ae-47b8-8592-eac7f470fba7_Method">
    <vt:lpwstr>Standard</vt:lpwstr>
  </property>
  <property fmtid="{D5CDD505-2E9C-101B-9397-08002B2CF9AE}" pid="5" name="MSIP_Label_fda5d7e0-a6ae-47b8-8592-eac7f470fba7_Name">
    <vt:lpwstr>Wewnętrzny - SL2 -bez AI</vt:lpwstr>
  </property>
  <property fmtid="{D5CDD505-2E9C-101B-9397-08002B2CF9AE}" pid="6" name="MSIP_Label_fda5d7e0-a6ae-47b8-8592-eac7f470fba7_SiteId">
    <vt:lpwstr>f583f0e4-0fe2-4e46-8bc7-ff287059e206</vt:lpwstr>
  </property>
  <property fmtid="{D5CDD505-2E9C-101B-9397-08002B2CF9AE}" pid="7" name="MSIP_Label_fda5d7e0-a6ae-47b8-8592-eac7f470fba7_ActionId">
    <vt:lpwstr>fa79abfc-dcd4-4905-9292-d9bafdccefbe</vt:lpwstr>
  </property>
  <property fmtid="{D5CDD505-2E9C-101B-9397-08002B2CF9AE}" pid="8" name="MSIP_Label_fda5d7e0-a6ae-47b8-8592-eac7f470fba7_ContentBits">
    <vt:lpwstr>0</vt:lpwstr>
  </property>
  <property fmtid="{D5CDD505-2E9C-101B-9397-08002B2CF9AE}" pid="9" name="MSIP_Label_fda5d7e0-a6ae-47b8-8592-eac7f470fba7_Tag">
    <vt:lpwstr>10, 3, 0, 1</vt:lpwstr>
  </property>
</Properties>
</file>