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C6FB7" w14:textId="77777777" w:rsidR="00122926" w:rsidRPr="00586923" w:rsidRDefault="00122926" w:rsidP="00122926">
      <w:pPr>
        <w:rPr>
          <w:rFonts w:ascii="Arial" w:hAnsi="Arial" w:cs="Arial"/>
        </w:rPr>
      </w:pPr>
      <w:r w:rsidRPr="00586923">
        <w:rPr>
          <w:rFonts w:ascii="Arial" w:hAnsi="Arial" w:cs="Arial"/>
          <w:noProof/>
          <w:lang w:eastAsia="pl-PL"/>
        </w:rPr>
        <w:drawing>
          <wp:inline distT="0" distB="0" distL="0" distR="0" wp14:anchorId="7B8B4F94" wp14:editId="6F84D47D">
            <wp:extent cx="5683910" cy="943559"/>
            <wp:effectExtent l="0" t="0" r="0" b="9525"/>
            <wp:docPr id="2" name="Obraz 2"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zcionka, zrzut ekranu, logo&#10;&#10;Zawartość wygenerowana przez AI może być niepoprawna."/>
                    <pic:cNvPicPr/>
                  </pic:nvPicPr>
                  <pic:blipFill>
                    <a:blip r:embed="rId5">
                      <a:extLst>
                        <a:ext uri="{28A0092B-C50C-407E-A947-70E740481C1C}">
                          <a14:useLocalDpi xmlns:a14="http://schemas.microsoft.com/office/drawing/2010/main" val="0"/>
                        </a:ext>
                      </a:extLst>
                    </a:blip>
                    <a:stretch>
                      <a:fillRect/>
                    </a:stretch>
                  </pic:blipFill>
                  <pic:spPr>
                    <a:xfrm>
                      <a:off x="0" y="0"/>
                      <a:ext cx="5704187" cy="946925"/>
                    </a:xfrm>
                    <a:prstGeom prst="rect">
                      <a:avLst/>
                    </a:prstGeom>
                  </pic:spPr>
                </pic:pic>
              </a:graphicData>
            </a:graphic>
          </wp:inline>
        </w:drawing>
      </w:r>
    </w:p>
    <w:p w14:paraId="3B5694AD" w14:textId="77777777" w:rsidR="00122926" w:rsidRDefault="00122926" w:rsidP="00122926">
      <w:pPr>
        <w:spacing w:after="0" w:line="300" w:lineRule="auto"/>
        <w:jc w:val="center"/>
        <w:rPr>
          <w:rFonts w:ascii="Arial" w:hAnsi="Arial" w:cs="Arial"/>
          <w:b/>
        </w:rPr>
      </w:pPr>
      <w:r w:rsidRPr="00586923">
        <w:rPr>
          <w:rFonts w:ascii="Arial" w:hAnsi="Arial" w:cs="Arial"/>
          <w:b/>
        </w:rPr>
        <w:t xml:space="preserve">Konsultacje </w:t>
      </w:r>
      <w:r>
        <w:rPr>
          <w:rFonts w:ascii="Arial" w:hAnsi="Arial" w:cs="Arial"/>
          <w:b/>
        </w:rPr>
        <w:t>projektów</w:t>
      </w:r>
      <w:r w:rsidRPr="00586923">
        <w:rPr>
          <w:rFonts w:ascii="Arial" w:hAnsi="Arial" w:cs="Arial"/>
          <w:b/>
        </w:rPr>
        <w:t xml:space="preserve"> krajowych aktów prawnych </w:t>
      </w:r>
      <w:r>
        <w:rPr>
          <w:rFonts w:ascii="Arial" w:hAnsi="Arial" w:cs="Arial"/>
          <w:b/>
        </w:rPr>
        <w:t xml:space="preserve">i ogłoszone akty prawne </w:t>
      </w:r>
      <w:r>
        <w:rPr>
          <w:rFonts w:ascii="Arial" w:hAnsi="Arial" w:cs="Arial"/>
          <w:b/>
        </w:rPr>
        <w:br/>
        <w:t>w Dzienniku Ustaw</w:t>
      </w:r>
    </w:p>
    <w:p w14:paraId="0392787C" w14:textId="77777777" w:rsidR="00122926" w:rsidRPr="00586923" w:rsidRDefault="00122926" w:rsidP="00122926">
      <w:pPr>
        <w:spacing w:after="0" w:line="300" w:lineRule="auto"/>
        <w:jc w:val="center"/>
        <w:rPr>
          <w:rFonts w:ascii="Arial" w:hAnsi="Arial" w:cs="Arial"/>
          <w:b/>
        </w:rPr>
      </w:pPr>
      <w:r>
        <w:rPr>
          <w:rFonts w:ascii="Arial" w:hAnsi="Arial" w:cs="Arial"/>
          <w:b/>
        </w:rPr>
        <w:t>(</w:t>
      </w:r>
      <w:r w:rsidRPr="00586923">
        <w:rPr>
          <w:rFonts w:ascii="Arial" w:hAnsi="Arial" w:cs="Arial"/>
          <w:b/>
        </w:rPr>
        <w:t xml:space="preserve">monitoring legislacji </w:t>
      </w:r>
      <w:r>
        <w:rPr>
          <w:rFonts w:ascii="Arial" w:hAnsi="Arial" w:cs="Arial"/>
          <w:b/>
        </w:rPr>
        <w:t xml:space="preserve">krajowej </w:t>
      </w:r>
      <w:r w:rsidRPr="00586923">
        <w:rPr>
          <w:rFonts w:ascii="Arial" w:hAnsi="Arial" w:cs="Arial"/>
          <w:b/>
        </w:rPr>
        <w:t>ZPPM</w:t>
      </w:r>
      <w:r>
        <w:rPr>
          <w:rFonts w:ascii="Arial" w:hAnsi="Arial" w:cs="Arial"/>
          <w:b/>
        </w:rPr>
        <w:t>)</w:t>
      </w:r>
    </w:p>
    <w:p w14:paraId="2524D30A" w14:textId="4329FD02" w:rsidR="00122926" w:rsidRPr="00586923" w:rsidRDefault="00122926" w:rsidP="00122926">
      <w:pPr>
        <w:spacing w:after="0" w:line="300" w:lineRule="auto"/>
        <w:jc w:val="center"/>
        <w:rPr>
          <w:rFonts w:ascii="Arial" w:hAnsi="Arial" w:cs="Arial"/>
        </w:rPr>
      </w:pPr>
      <w:r w:rsidRPr="00586923">
        <w:rPr>
          <w:rFonts w:ascii="Arial" w:hAnsi="Arial" w:cs="Arial"/>
          <w:b/>
        </w:rPr>
        <w:t xml:space="preserve">w okresie od </w:t>
      </w:r>
      <w:r>
        <w:rPr>
          <w:rFonts w:ascii="Arial" w:hAnsi="Arial" w:cs="Arial"/>
          <w:b/>
        </w:rPr>
        <w:t xml:space="preserve">13 </w:t>
      </w:r>
      <w:r w:rsidRPr="00586923">
        <w:rPr>
          <w:rFonts w:ascii="Arial" w:hAnsi="Arial" w:cs="Arial"/>
          <w:b/>
        </w:rPr>
        <w:t xml:space="preserve">do </w:t>
      </w:r>
      <w:r>
        <w:rPr>
          <w:rFonts w:ascii="Arial" w:hAnsi="Arial" w:cs="Arial"/>
          <w:b/>
        </w:rPr>
        <w:t>26 lipca</w:t>
      </w:r>
      <w:r w:rsidRPr="00586923">
        <w:rPr>
          <w:rFonts w:ascii="Arial" w:hAnsi="Arial" w:cs="Arial"/>
          <w:b/>
        </w:rPr>
        <w:t xml:space="preserve"> 202</w:t>
      </w:r>
      <w:r>
        <w:rPr>
          <w:rFonts w:ascii="Arial" w:hAnsi="Arial" w:cs="Arial"/>
          <w:b/>
        </w:rPr>
        <w:t>6</w:t>
      </w:r>
      <w:r w:rsidRPr="00586923">
        <w:rPr>
          <w:rFonts w:ascii="Arial" w:hAnsi="Arial" w:cs="Arial"/>
          <w:b/>
        </w:rPr>
        <w:t xml:space="preserve"> roku</w:t>
      </w:r>
    </w:p>
    <w:p w14:paraId="10C0DDA2" w14:textId="58F34E72" w:rsidR="00122926" w:rsidRPr="00AC3187" w:rsidRDefault="00122926" w:rsidP="00122926">
      <w:pPr>
        <w:spacing w:after="0" w:line="300" w:lineRule="auto"/>
        <w:jc w:val="center"/>
        <w:rPr>
          <w:rFonts w:ascii="Arial" w:hAnsi="Arial" w:cs="Arial"/>
        </w:rPr>
      </w:pPr>
      <w:r w:rsidRPr="00AC3187">
        <w:rPr>
          <w:rFonts w:ascii="Arial" w:hAnsi="Arial" w:cs="Arial"/>
        </w:rPr>
        <w:t xml:space="preserve">Raport na dzień </w:t>
      </w:r>
      <w:r>
        <w:rPr>
          <w:rFonts w:ascii="Arial" w:hAnsi="Arial" w:cs="Arial"/>
        </w:rPr>
        <w:t>29 lipca</w:t>
      </w:r>
      <w:r w:rsidRPr="00AC3187">
        <w:rPr>
          <w:rFonts w:ascii="Arial" w:hAnsi="Arial" w:cs="Arial"/>
        </w:rPr>
        <w:t xml:space="preserve"> 202</w:t>
      </w:r>
      <w:r>
        <w:rPr>
          <w:rFonts w:ascii="Arial" w:hAnsi="Arial" w:cs="Arial"/>
        </w:rPr>
        <w:t>6</w:t>
      </w:r>
      <w:r w:rsidRPr="00AC3187">
        <w:rPr>
          <w:rFonts w:ascii="Arial" w:hAnsi="Arial" w:cs="Arial"/>
        </w:rPr>
        <w:t xml:space="preserve"> roku</w:t>
      </w:r>
    </w:p>
    <w:p w14:paraId="52034FC4" w14:textId="77777777" w:rsidR="00122926" w:rsidRPr="00586923" w:rsidRDefault="00122926" w:rsidP="00122926">
      <w:pPr>
        <w:spacing w:after="0" w:line="300" w:lineRule="auto"/>
        <w:jc w:val="both"/>
        <w:rPr>
          <w:rFonts w:ascii="Arial" w:hAnsi="Arial" w:cs="Arial"/>
        </w:rPr>
      </w:pPr>
    </w:p>
    <w:p w14:paraId="6417E9B8" w14:textId="77777777" w:rsidR="00122926" w:rsidRPr="000B65D1" w:rsidRDefault="00122926" w:rsidP="00122926">
      <w:pPr>
        <w:pStyle w:val="Akapitzlist"/>
        <w:numPr>
          <w:ilvl w:val="0"/>
          <w:numId w:val="1"/>
        </w:numPr>
        <w:spacing w:after="0" w:line="300" w:lineRule="auto"/>
        <w:ind w:left="284" w:hanging="284"/>
        <w:jc w:val="both"/>
        <w:rPr>
          <w:rFonts w:ascii="Arial" w:hAnsi="Arial" w:cs="Arial"/>
          <w:b/>
        </w:rPr>
      </w:pPr>
      <w:r w:rsidRPr="000B65D1">
        <w:rPr>
          <w:rFonts w:ascii="Arial" w:hAnsi="Arial" w:cs="Arial"/>
          <w:b/>
        </w:rPr>
        <w:t>Projekty aktów prawnych</w:t>
      </w:r>
    </w:p>
    <w:p w14:paraId="046E17AE" w14:textId="77777777" w:rsidR="00122926" w:rsidRDefault="00122926" w:rsidP="00122926">
      <w:pPr>
        <w:spacing w:after="0" w:line="300" w:lineRule="auto"/>
        <w:jc w:val="both"/>
        <w:rPr>
          <w:rFonts w:ascii="Arial" w:hAnsi="Arial" w:cs="Arial"/>
        </w:rPr>
      </w:pPr>
    </w:p>
    <w:p w14:paraId="0E8F2DE7" w14:textId="72457978" w:rsidR="00122926" w:rsidRPr="00C70674" w:rsidRDefault="00122926" w:rsidP="00122926">
      <w:pPr>
        <w:spacing w:after="0" w:line="300" w:lineRule="auto"/>
        <w:jc w:val="both"/>
        <w:rPr>
          <w:rFonts w:ascii="Arial" w:hAnsi="Arial" w:cs="Arial"/>
        </w:rPr>
      </w:pPr>
      <w:r w:rsidRPr="00C70674">
        <w:rPr>
          <w:rFonts w:ascii="Arial" w:hAnsi="Arial" w:cs="Arial"/>
        </w:rPr>
        <w:t xml:space="preserve">W omawianym okresie </w:t>
      </w:r>
      <w:r w:rsidRPr="00C70674">
        <w:rPr>
          <w:rFonts w:ascii="Arial" w:eastAsia="Calibri" w:hAnsi="Arial" w:cs="Arial"/>
          <w:bCs/>
        </w:rPr>
        <w:t xml:space="preserve">Rządowe Centrum Legislacji opublikowało </w:t>
      </w:r>
      <w:r w:rsidR="0000729D">
        <w:rPr>
          <w:rFonts w:ascii="Arial" w:eastAsia="Calibri" w:hAnsi="Arial" w:cs="Arial"/>
          <w:bCs/>
        </w:rPr>
        <w:t>11</w:t>
      </w:r>
      <w:r w:rsidRPr="00C70674">
        <w:rPr>
          <w:rFonts w:ascii="Arial" w:eastAsia="Calibri" w:hAnsi="Arial" w:cs="Arial"/>
          <w:bCs/>
        </w:rPr>
        <w:t xml:space="preserve"> projekt</w:t>
      </w:r>
      <w:r w:rsidR="0000729D">
        <w:rPr>
          <w:rFonts w:ascii="Arial" w:eastAsia="Calibri" w:hAnsi="Arial" w:cs="Arial"/>
          <w:bCs/>
        </w:rPr>
        <w:t>ów</w:t>
      </w:r>
      <w:r>
        <w:rPr>
          <w:rFonts w:ascii="Arial" w:eastAsia="Calibri" w:hAnsi="Arial" w:cs="Arial"/>
          <w:bCs/>
        </w:rPr>
        <w:t xml:space="preserve"> ustaw</w:t>
      </w:r>
      <w:r w:rsidRPr="00C70674">
        <w:rPr>
          <w:rFonts w:ascii="Arial" w:eastAsia="Calibri" w:hAnsi="Arial" w:cs="Arial"/>
          <w:bCs/>
        </w:rPr>
        <w:t xml:space="preserve"> oraz</w:t>
      </w:r>
      <w:r w:rsidRPr="00C70674">
        <w:rPr>
          <w:rFonts w:ascii="Arial" w:hAnsi="Arial" w:cs="Arial"/>
        </w:rPr>
        <w:t xml:space="preserve"> </w:t>
      </w:r>
      <w:r w:rsidR="0000729D">
        <w:rPr>
          <w:rFonts w:ascii="Arial" w:hAnsi="Arial" w:cs="Arial"/>
        </w:rPr>
        <w:t xml:space="preserve">42 </w:t>
      </w:r>
      <w:r w:rsidRPr="00C70674">
        <w:rPr>
          <w:rFonts w:ascii="Arial" w:hAnsi="Arial" w:cs="Arial"/>
        </w:rPr>
        <w:t>projekt</w:t>
      </w:r>
      <w:r w:rsidR="0000729D">
        <w:rPr>
          <w:rFonts w:ascii="Arial" w:hAnsi="Arial" w:cs="Arial"/>
        </w:rPr>
        <w:t>y</w:t>
      </w:r>
      <w:r w:rsidRPr="00C70674">
        <w:rPr>
          <w:rFonts w:ascii="Arial" w:hAnsi="Arial" w:cs="Arial"/>
        </w:rPr>
        <w:t xml:space="preserve"> rozporządzeń Rady Ministrów, Prezesa Rady Ministrów oraz poszczególnych Ministrów.</w:t>
      </w:r>
    </w:p>
    <w:p w14:paraId="25E0B988" w14:textId="77777777" w:rsidR="00122926" w:rsidRPr="00C70674" w:rsidRDefault="00122926" w:rsidP="00122926">
      <w:pPr>
        <w:spacing w:after="0" w:line="300" w:lineRule="auto"/>
        <w:jc w:val="both"/>
        <w:rPr>
          <w:rFonts w:ascii="Arial" w:hAnsi="Arial" w:cs="Arial"/>
        </w:rPr>
      </w:pPr>
    </w:p>
    <w:p w14:paraId="393A5C3D" w14:textId="4CA47852" w:rsidR="00122926" w:rsidRDefault="00122926" w:rsidP="00122926">
      <w:pPr>
        <w:spacing w:after="0" w:line="300" w:lineRule="auto"/>
        <w:jc w:val="both"/>
        <w:rPr>
          <w:rFonts w:ascii="Arial" w:hAnsi="Arial" w:cs="Arial"/>
        </w:rPr>
      </w:pPr>
      <w:r>
        <w:rPr>
          <w:rFonts w:ascii="Arial" w:hAnsi="Arial" w:cs="Arial"/>
        </w:rPr>
        <w:t xml:space="preserve">Przeprowadzono konsultacje </w:t>
      </w:r>
      <w:r w:rsidR="0000729D">
        <w:rPr>
          <w:rFonts w:ascii="Arial" w:hAnsi="Arial" w:cs="Arial"/>
        </w:rPr>
        <w:t>czterech</w:t>
      </w:r>
      <w:r>
        <w:rPr>
          <w:rFonts w:ascii="Arial" w:hAnsi="Arial" w:cs="Arial"/>
        </w:rPr>
        <w:t xml:space="preserve"> projekt</w:t>
      </w:r>
      <w:r w:rsidR="0000729D">
        <w:rPr>
          <w:rFonts w:ascii="Arial" w:hAnsi="Arial" w:cs="Arial"/>
        </w:rPr>
        <w:t>ów</w:t>
      </w:r>
      <w:r>
        <w:rPr>
          <w:rFonts w:ascii="Arial" w:hAnsi="Arial" w:cs="Arial"/>
        </w:rPr>
        <w:t xml:space="preserve"> rozporządzeń dotyczących podmiotów członkowskich (pracodawcy, przedsiębiorcy, JST) zrzeszonych w Związku. </w:t>
      </w:r>
    </w:p>
    <w:p w14:paraId="0EF17518" w14:textId="77777777" w:rsidR="00122926" w:rsidRDefault="00122926" w:rsidP="00122926">
      <w:pPr>
        <w:spacing w:after="0" w:line="300" w:lineRule="auto"/>
        <w:jc w:val="both"/>
        <w:rPr>
          <w:rFonts w:ascii="Arial" w:hAnsi="Arial" w:cs="Arial"/>
        </w:rPr>
      </w:pPr>
      <w:r>
        <w:rPr>
          <w:rFonts w:ascii="Arial" w:hAnsi="Arial" w:cs="Arial"/>
        </w:rPr>
        <w:t>Do konsultacji przekazane zostały następujące projekty:</w:t>
      </w:r>
    </w:p>
    <w:p w14:paraId="6025C088" w14:textId="77777777" w:rsidR="00122926" w:rsidRDefault="00122926" w:rsidP="00122926">
      <w:pPr>
        <w:spacing w:after="0" w:line="300" w:lineRule="auto"/>
        <w:jc w:val="both"/>
        <w:rPr>
          <w:rFonts w:ascii="Arial" w:hAnsi="Arial" w:cs="Arial"/>
        </w:rPr>
      </w:pPr>
    </w:p>
    <w:p w14:paraId="63D1C529" w14:textId="77777777" w:rsidR="00122926" w:rsidRDefault="00122926" w:rsidP="00122926">
      <w:pPr>
        <w:spacing w:after="0" w:line="300" w:lineRule="auto"/>
        <w:jc w:val="both"/>
        <w:rPr>
          <w:rFonts w:ascii="Arial" w:hAnsi="Arial" w:cs="Arial"/>
        </w:rPr>
      </w:pPr>
      <w:r>
        <w:rPr>
          <w:rFonts w:ascii="Arial" w:hAnsi="Arial" w:cs="Arial"/>
        </w:rPr>
        <w:t>Projekty rozporządzeń:</w:t>
      </w:r>
    </w:p>
    <w:p w14:paraId="4B7E5B0A" w14:textId="77777777" w:rsidR="00E67DF7" w:rsidRDefault="00E67DF7" w:rsidP="00122926">
      <w:pPr>
        <w:spacing w:after="0" w:line="300" w:lineRule="auto"/>
        <w:jc w:val="both"/>
        <w:rPr>
          <w:rFonts w:ascii="Arial" w:hAnsi="Arial" w:cs="Arial"/>
        </w:rPr>
      </w:pPr>
    </w:p>
    <w:p w14:paraId="4F24AD51" w14:textId="4390C107" w:rsidR="0000729D" w:rsidRPr="004A1816" w:rsidRDefault="004A1816" w:rsidP="00122926">
      <w:pPr>
        <w:pStyle w:val="Akapitzlist"/>
        <w:numPr>
          <w:ilvl w:val="0"/>
          <w:numId w:val="4"/>
        </w:numPr>
        <w:spacing w:after="0" w:line="300" w:lineRule="auto"/>
        <w:jc w:val="both"/>
        <w:rPr>
          <w:rFonts w:ascii="Arial" w:hAnsi="Arial" w:cs="Arial"/>
          <w:b/>
          <w:bCs/>
          <w:u w:val="single"/>
        </w:rPr>
      </w:pPr>
      <w:r w:rsidRPr="004A1816">
        <w:rPr>
          <w:rFonts w:ascii="Arial" w:hAnsi="Arial" w:cs="Arial"/>
          <w:b/>
          <w:bCs/>
          <w:u w:val="single"/>
        </w:rPr>
        <w:t>Projekt rozporządzenia Ministra Cyfryzacji w sprawie urządzeń radiowych nadawczych lub nadawczo-odbiorczych, które mogą być używane bez pozwolenia radiowego (48).</w:t>
      </w:r>
    </w:p>
    <w:p w14:paraId="7DB32BBA" w14:textId="77777777" w:rsidR="0000729D" w:rsidRDefault="0000729D" w:rsidP="0000729D">
      <w:pPr>
        <w:spacing w:after="0" w:line="300" w:lineRule="auto"/>
        <w:jc w:val="both"/>
        <w:rPr>
          <w:rFonts w:ascii="Arial" w:hAnsi="Arial" w:cs="Arial"/>
        </w:rPr>
      </w:pPr>
    </w:p>
    <w:p w14:paraId="17EB8BBF" w14:textId="77777777" w:rsidR="004A1816" w:rsidRPr="004A1816" w:rsidRDefault="004A1816" w:rsidP="004A1816">
      <w:pPr>
        <w:spacing w:after="0" w:line="300" w:lineRule="auto"/>
        <w:jc w:val="both"/>
        <w:rPr>
          <w:rFonts w:ascii="Arial" w:hAnsi="Arial" w:cs="Arial"/>
        </w:rPr>
      </w:pPr>
      <w:r w:rsidRPr="004A1816">
        <w:rPr>
          <w:rFonts w:ascii="Arial" w:hAnsi="Arial" w:cs="Arial"/>
        </w:rPr>
        <w:t>Projektowane rozporządzenie wykonuje upoważnienie ustawowe zawarte w art. 145 ust. 4 ustawy z dnia 12 lipca 2024 r. – Prawo komunikacji elektronicznej (Dz. U. poz. 1221, z 2025 r. poz. 637 i 820 oraz z 2026 r. poz. 252 i 815), zwanej dalej „PKE”, upoważniające ministra właściwego do spraw informatyzacji do określenia zakresu urządzeń radiowych nadawczych lub nadawczo-odbiorczych, które mogą być używane bez pozwolenia radiowego, kierując się zasadą zwiększania liczby rodzajów takich urządzeń, przy uwzględnieniu potrzeby harmonijnego gospodarowania częstotliwościami, uwzględniając przepisy międzynarodowe oraz określając warunki używania urządzeń radiowych nadawczych lub nadawczo-odbiorczych, które mogą być używane bez pozwolenia radiowego, w tym w szczególności zakresy wykorzystywanych przez nie częstotliwości, maksymalną moc promieniowaną lub maksymalne natężenie pola magnetycznego oraz obszar używania tych urządzeń, a także rodzaje służb radiokomunikacyjnych. Rozporządzenie to uzupełnia wykaz urządzeń radiowych nadawczych lub nadawczo-odbiorczych, które nie wymagają pozwoleń, zawarty w art. 145 ust. 2 i 3 PKE.</w:t>
      </w:r>
    </w:p>
    <w:p w14:paraId="425CD9CE" w14:textId="77777777" w:rsidR="004A1816" w:rsidRPr="004A1816" w:rsidRDefault="004A1816" w:rsidP="004A1816">
      <w:pPr>
        <w:spacing w:after="0" w:line="300" w:lineRule="auto"/>
        <w:jc w:val="both"/>
        <w:rPr>
          <w:rFonts w:ascii="Arial" w:hAnsi="Arial" w:cs="Arial"/>
        </w:rPr>
      </w:pPr>
      <w:r w:rsidRPr="004A1816">
        <w:rPr>
          <w:rFonts w:ascii="Arial" w:hAnsi="Arial" w:cs="Arial"/>
        </w:rPr>
        <w:t xml:space="preserve">Projektowane rozporządzenie było poprzedzone rozporządzeniem Ministra Cyfryzacji z dnia 9 lutego 2022 r. w sprawie urządzeń radiowych nadawczych lub nadawczo-odbiorczych, które </w:t>
      </w:r>
      <w:r w:rsidRPr="004A1816">
        <w:rPr>
          <w:rFonts w:ascii="Arial" w:hAnsi="Arial" w:cs="Arial"/>
        </w:rPr>
        <w:lastRenderedPageBreak/>
        <w:t>mogą być używane bez pozwolenia radiowego (Dz. U. poz. 567 oraz z 2023 r. poz. 2567), które na podstawie art. 104 pkt 15 ustawy z dnia 12 lipca 2024 r. – Przepisy wprowadzające ustawę – Prawo komunikacji elektronicznej (Dz. U. poz. 1222 oraz z 2026 r. poz. 252) traci moc z dniem wejścia w życie projektowanego rozporządzenia.</w:t>
      </w:r>
    </w:p>
    <w:p w14:paraId="7F1C8F3F" w14:textId="77777777" w:rsidR="004A1816" w:rsidRPr="004A1816" w:rsidRDefault="004A1816" w:rsidP="004A1816">
      <w:pPr>
        <w:spacing w:after="0" w:line="300" w:lineRule="auto"/>
        <w:jc w:val="both"/>
        <w:rPr>
          <w:rFonts w:ascii="Arial" w:hAnsi="Arial" w:cs="Arial"/>
        </w:rPr>
      </w:pPr>
      <w:r w:rsidRPr="004A1816">
        <w:rPr>
          <w:rFonts w:ascii="Arial" w:hAnsi="Arial" w:cs="Arial"/>
        </w:rPr>
        <w:t xml:space="preserve">Rozporządzenie ma charakter fakultatywny, jednak jego wydanie przez właściwego ministra do spraw informatyzacji jest kluczowe dla funkcjonowania rynku komunikacji elektronicznej, ponieważ rozszerza ono zakres urządzeń jakie mogą być używane bez pozwolenia radiowego i wdraża decyzje wykonawcze Komisji Europejskiej oraz decyzje, zalecenia i sprawozdania Europejskiej Konferencji Administracji Pocztowych i Telekomunikacyjnych (European Conference of Postal and Telecommunications Administrations </w:t>
      </w:r>
      <w:r w:rsidRPr="004A1816">
        <w:rPr>
          <w:rFonts w:ascii="Arial" w:hAnsi="Arial" w:cs="Arial"/>
        </w:rPr>
        <w:t xml:space="preserve"> CEPT), Komitetu Komunikacji Elektronicznej (Electronic Communications Committee </w:t>
      </w:r>
      <w:r w:rsidRPr="004A1816">
        <w:rPr>
          <w:rFonts w:ascii="Arial" w:hAnsi="Arial" w:cs="Arial"/>
        </w:rPr>
        <w:t xml:space="preserve"> ECC), Europejskiego Komitetu do spraw Telekomunikacyjnych (European Committee for Telecommunications Regulatory Affairs </w:t>
      </w:r>
      <w:r w:rsidRPr="004A1816">
        <w:rPr>
          <w:rFonts w:ascii="Arial" w:hAnsi="Arial" w:cs="Arial"/>
        </w:rPr>
        <w:t xml:space="preserve"> ECTRA) oraz Europejskiego Komitetu Radiokomunikacji (European Radiocommunications Committee </w:t>
      </w:r>
      <w:r w:rsidRPr="004A1816">
        <w:rPr>
          <w:rFonts w:ascii="Arial" w:hAnsi="Arial" w:cs="Arial"/>
        </w:rPr>
        <w:t> ERC).</w:t>
      </w:r>
    </w:p>
    <w:p w14:paraId="05B054CF" w14:textId="77777777" w:rsidR="004A1816" w:rsidRPr="004A1816" w:rsidRDefault="004A1816" w:rsidP="004A1816">
      <w:pPr>
        <w:spacing w:after="0" w:line="300" w:lineRule="auto"/>
        <w:jc w:val="both"/>
        <w:rPr>
          <w:rFonts w:ascii="Arial" w:hAnsi="Arial" w:cs="Arial"/>
        </w:rPr>
      </w:pPr>
      <w:r w:rsidRPr="004A1816">
        <w:rPr>
          <w:rFonts w:ascii="Arial" w:hAnsi="Arial" w:cs="Arial"/>
        </w:rPr>
        <w:t>Projektowane rozporządzenie względem poprzedzającego je rozporządzenia Ministra Cyfryzacji z dnia 9 lutego 2022 r. w sprawie urządzeń radiowych nadawczych lub nadawczo-odbiorczych, które mogą być używane bez pozwolenia radiowego zawiera szereg zmian, polegających w szczególności na uzupełnieniu i aktualizacji określeń, oznaczeń, skrótów i symboli używanych w rozporządzeniu i załącznikach oraz rozszerzeniu i aktualizacji katalogu urządzeń, których używanie nie wymaga pozwolenia radiowego. W szczególności zmieniony został sposób prezentowania urządzeń, które nie wymagają pozwoleń. W projektowanym rozporządzeniu, w porównaniu do poprzedniego rozporządzenia, zrezygnowano z przedstawiania w poszczególnych załącznikach parametrów eksploatacyjnych urządzeń, których używanie nie wymaga pozwolenia radiowego, na rzecz odwołań (umieszczonych w nowo skonstruowanych tabelach) do dokumentów unijnych i CEPT, w których określone są warunki używania urządzeń. Dzięki temu poprawiono przejrzystość tekstu poszczególnych załączników rozporządzenia. Dodatkowo w projekcie rozporządzenia wprowadzony jest nowy załącznik, który obejmuje autonomiczne urządzenia morskie stanowiące istotny element podnoszenia bezpieczeństwa żeglugi morskiej.</w:t>
      </w:r>
    </w:p>
    <w:p w14:paraId="58B2327C" w14:textId="77777777" w:rsidR="004A1816" w:rsidRPr="004A1816" w:rsidRDefault="004A1816" w:rsidP="004A1816">
      <w:pPr>
        <w:spacing w:after="0" w:line="300" w:lineRule="auto"/>
        <w:jc w:val="both"/>
        <w:rPr>
          <w:rFonts w:ascii="Arial" w:hAnsi="Arial" w:cs="Arial"/>
        </w:rPr>
      </w:pPr>
      <w:r w:rsidRPr="004A1816">
        <w:rPr>
          <w:rFonts w:ascii="Arial" w:hAnsi="Arial" w:cs="Arial"/>
        </w:rPr>
        <w:t xml:space="preserve">Projekt reguluje używanie urządzeń bez pozwolenia radiowego pracujących jako stacje bazowe małej mocy w zakresach częstotliwości. Zakresy częstotliwości wskazane w projekcie odnoszą się do dupleksu częstotliwości (Frequency Division Duplex </w:t>
      </w:r>
      <w:r w:rsidRPr="004A1816">
        <w:rPr>
          <w:rFonts w:ascii="Arial" w:hAnsi="Arial" w:cs="Arial"/>
        </w:rPr>
        <w:t> FDD), tj. sposobu organizacji komunikacji radiowej, w którym nadawanie i odbieranie odbywa się jednocześnie na dwóch różnych częstotliwościach. W związku z tym zapisane w § 3 ust. 1 pkt 4 pary częstotliwości, są przedstawione adekwatnie do dokumentów Międzynarodowego Związku Telekomunikacyjnego. Taka konstrukcja przepisu pozwoli na prawidłowe interpretowanie norm prawnych z niego wynikających.</w:t>
      </w:r>
    </w:p>
    <w:p w14:paraId="47479C1C" w14:textId="77777777" w:rsidR="004A1816" w:rsidRPr="004A1816" w:rsidRDefault="004A1816" w:rsidP="004A1816">
      <w:pPr>
        <w:spacing w:after="0" w:line="300" w:lineRule="auto"/>
        <w:jc w:val="both"/>
        <w:rPr>
          <w:rFonts w:ascii="Arial" w:hAnsi="Arial" w:cs="Arial"/>
        </w:rPr>
      </w:pPr>
      <w:r w:rsidRPr="004A1816">
        <w:rPr>
          <w:rFonts w:ascii="Arial" w:hAnsi="Arial" w:cs="Arial"/>
        </w:rPr>
        <w:t xml:space="preserve">W projekcie uregulowano warunki używania urządzeń typu PR27 bez pozwolenia radiowego. W projekcie przyjęto określenie „urządzenia typu PR27”, które jest utrwalonym w praktyce technicznej i rynkowej oznaczeniem urządzeń radiowych, funkcjonującym w obszarze telekomunikacji i urządzeń radiowych i powszechnie stosowane przez producentów, importerów, jednostki oceniające zgodność oraz pozostałych uczestników rynku. Adresatami regulacji są podmioty posługujące się specjalistyczną terminologią właściwą dla tej dziedziny, </w:t>
      </w:r>
      <w:r w:rsidRPr="004A1816">
        <w:rPr>
          <w:rFonts w:ascii="Arial" w:hAnsi="Arial" w:cs="Arial"/>
        </w:rPr>
        <w:lastRenderedPageBreak/>
        <w:t>ponadto przepis odsyła do norm wprowadzających normę ETSI EN 300 433, określających wymagania techniczne odnoszące się do urządzeń PR27 objętych zakresem regulacji.</w:t>
      </w:r>
    </w:p>
    <w:p w14:paraId="00AEC354" w14:textId="213CA894" w:rsidR="004A1816" w:rsidRDefault="004A1816" w:rsidP="004A1816">
      <w:pPr>
        <w:spacing w:after="0" w:line="300" w:lineRule="auto"/>
        <w:jc w:val="both"/>
        <w:rPr>
          <w:rFonts w:ascii="Arial" w:hAnsi="Arial" w:cs="Arial"/>
        </w:rPr>
      </w:pPr>
      <w:r w:rsidRPr="004A1816">
        <w:rPr>
          <w:rFonts w:ascii="Arial" w:hAnsi="Arial" w:cs="Arial"/>
        </w:rPr>
        <w:t>Celem projektowanego rozporządzenia jest w szczególności uwzględnienie przepisów decyzji wykonawczych Komisji Europejskiej oraz decyzji, zaleceń i sprawozdań CEPT ECC/ERC/ECTRA.</w:t>
      </w:r>
    </w:p>
    <w:p w14:paraId="3F66AD75" w14:textId="77777777" w:rsidR="004A1816" w:rsidRDefault="004A1816" w:rsidP="0000729D">
      <w:pPr>
        <w:spacing w:after="0" w:line="300" w:lineRule="auto"/>
        <w:jc w:val="both"/>
        <w:rPr>
          <w:rFonts w:ascii="Arial" w:hAnsi="Arial" w:cs="Arial"/>
        </w:rPr>
      </w:pPr>
    </w:p>
    <w:p w14:paraId="2900E432" w14:textId="77777777" w:rsidR="004A1816" w:rsidRPr="004A1816" w:rsidRDefault="004A1816" w:rsidP="004A1816">
      <w:pPr>
        <w:spacing w:after="0" w:line="300" w:lineRule="auto"/>
        <w:jc w:val="both"/>
        <w:rPr>
          <w:rFonts w:ascii="Arial" w:hAnsi="Arial" w:cs="Arial"/>
        </w:rPr>
      </w:pPr>
      <w:r w:rsidRPr="004A1816">
        <w:rPr>
          <w:rFonts w:ascii="Arial" w:hAnsi="Arial" w:cs="Arial"/>
        </w:rPr>
        <w:t xml:space="preserve">Przedmiotowy projekt aktu prawnego wraz z Uzasadnieniem oraz Oceną Skutków Regulacji dostępny jest na stronach Rządowego Centrum Legislacji pod adresem: </w:t>
      </w:r>
    </w:p>
    <w:p w14:paraId="5EEF08C0" w14:textId="01162668" w:rsidR="004A1816" w:rsidRDefault="004A1816" w:rsidP="004A1816">
      <w:pPr>
        <w:spacing w:after="0" w:line="300" w:lineRule="auto"/>
        <w:jc w:val="both"/>
        <w:rPr>
          <w:rFonts w:ascii="Arial" w:hAnsi="Arial" w:cs="Arial"/>
        </w:rPr>
      </w:pPr>
      <w:hyperlink r:id="rId6" w:anchor="13214816" w:history="1">
        <w:r w:rsidRPr="009E6CDC">
          <w:rPr>
            <w:rStyle w:val="Hipercze"/>
            <w:rFonts w:ascii="Arial" w:hAnsi="Arial" w:cs="Arial"/>
          </w:rPr>
          <w:t>https://legislacja.rcl.gov.pl/projekt/12412351/katalog/13214816#13214816</w:t>
        </w:r>
      </w:hyperlink>
      <w:r>
        <w:rPr>
          <w:rFonts w:ascii="Arial" w:hAnsi="Arial" w:cs="Arial"/>
        </w:rPr>
        <w:t xml:space="preserve"> </w:t>
      </w:r>
    </w:p>
    <w:p w14:paraId="25627023" w14:textId="77777777" w:rsidR="004A1816" w:rsidRDefault="004A1816" w:rsidP="0000729D">
      <w:pPr>
        <w:spacing w:after="0" w:line="300" w:lineRule="auto"/>
        <w:jc w:val="both"/>
        <w:rPr>
          <w:rFonts w:ascii="Arial" w:hAnsi="Arial" w:cs="Arial"/>
        </w:rPr>
      </w:pPr>
    </w:p>
    <w:p w14:paraId="32D5CEE1" w14:textId="5231B45E" w:rsidR="004A1816" w:rsidRDefault="004A1816" w:rsidP="0000729D">
      <w:pPr>
        <w:spacing w:after="0" w:line="300" w:lineRule="auto"/>
        <w:jc w:val="both"/>
        <w:rPr>
          <w:rFonts w:ascii="Arial" w:hAnsi="Arial" w:cs="Arial"/>
        </w:rPr>
      </w:pPr>
      <w:r w:rsidRPr="004A1816">
        <w:rPr>
          <w:rFonts w:ascii="Arial" w:hAnsi="Arial" w:cs="Arial"/>
        </w:rPr>
        <w:t>Projekt jest obecnie jednocześnie na etapie uzgodnień, konsultacji publicznych i opiniowania.</w:t>
      </w:r>
    </w:p>
    <w:p w14:paraId="56131245" w14:textId="77777777" w:rsidR="004A1816" w:rsidRPr="0000729D" w:rsidRDefault="004A1816" w:rsidP="0000729D">
      <w:pPr>
        <w:spacing w:after="0" w:line="300" w:lineRule="auto"/>
        <w:jc w:val="both"/>
        <w:rPr>
          <w:rFonts w:ascii="Arial" w:hAnsi="Arial" w:cs="Arial"/>
        </w:rPr>
      </w:pPr>
    </w:p>
    <w:p w14:paraId="73BC3AAF" w14:textId="641784BB" w:rsidR="0000729D" w:rsidRPr="00171106" w:rsidRDefault="00171106" w:rsidP="00122926">
      <w:pPr>
        <w:pStyle w:val="Akapitzlist"/>
        <w:numPr>
          <w:ilvl w:val="0"/>
          <w:numId w:val="4"/>
        </w:numPr>
        <w:spacing w:after="0" w:line="300" w:lineRule="auto"/>
        <w:jc w:val="both"/>
        <w:rPr>
          <w:rFonts w:ascii="Arial" w:hAnsi="Arial" w:cs="Arial"/>
          <w:b/>
          <w:bCs/>
          <w:u w:val="single"/>
        </w:rPr>
      </w:pPr>
      <w:r w:rsidRPr="00171106">
        <w:rPr>
          <w:rFonts w:ascii="Arial" w:hAnsi="Arial" w:cs="Arial"/>
          <w:b/>
          <w:bCs/>
          <w:u w:val="single"/>
        </w:rPr>
        <w:t>Projekt rozporządzenia Ministra Energii w sprawie sposobu kształtowania i kalkulacji taryf oraz sposobu rozliczeń w obrocie energią elektryczną (28).</w:t>
      </w:r>
    </w:p>
    <w:p w14:paraId="7297AD12" w14:textId="77777777" w:rsidR="0000729D" w:rsidRPr="00171106" w:rsidRDefault="0000729D" w:rsidP="00171106">
      <w:pPr>
        <w:spacing w:after="0" w:line="300" w:lineRule="auto"/>
        <w:jc w:val="both"/>
        <w:rPr>
          <w:rFonts w:ascii="Arial" w:hAnsi="Arial" w:cs="Arial"/>
        </w:rPr>
      </w:pPr>
    </w:p>
    <w:p w14:paraId="1DBD7BB5"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Konieczność wydania nowego rozporządzenia Ministra Energii w sprawie sposobu kształtowania i kalkulacji taryf oraz sposobu rozliczeń w obrocie energią elektryczną (dalej: „rozporządzenie taryfowe”) wynika ze zbliżającego się wygaśnięcia obowiązującego rozporządzenia Ministra Klimatu i Środowiska z 29 listopada 2022 r. Zgodnie z przepisami przejściowymi obecne regulacje obowiązują maksymalnie przez 36 miesięcy od wejścia w życie ustawy z 28 lipca 2023 r. o zmianie ustawy – Prawo energetyczne oraz niektórych innych ustaw (Dz. U. z 2023 r. poz. 1681, z 2024 r. poz. 859, z 2025 r. poz. 759 oraz z 2026 r. poz. 875), zwanej dalej „ustawą zmieniającą”, tj. do 7 września 2026 r. </w:t>
      </w:r>
    </w:p>
    <w:p w14:paraId="093FA380"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Ponadto zachodzi potrzeba wprowadzenia mechanizmów taryfowych umożliwiających lepsze odzwierciedlenie profilu zużycia energii oraz elastyczności poboru energii elektrycznej przez odbiorców końcowych oraz ich wpływu na funkcjonowanie Krajowego Systemu Elektroenergetycznego (KSE). Projekt określa nowe zasady obliczania opłaty solidarnościowej za energię dostarczoną linią bezpośrednią, zastępując rozwiązania przejściowe ustanowione „ustawą zmieniającą”. Dodatkowo w ramach działań deregulacyjnych planowane jest uproszczenie rachunków za energię elektryczną, w tym zagwarantowanie odbiorcom możliwości korzystania z rozliczeń opartych na faktycznym zużyciu energii elektrycznej przy zachowaniu możliwości stosowania faktur prognozowanych. </w:t>
      </w:r>
    </w:p>
    <w:p w14:paraId="697029AF" w14:textId="77777777" w:rsidR="00171106" w:rsidRPr="00171106" w:rsidRDefault="00171106" w:rsidP="00171106">
      <w:pPr>
        <w:spacing w:after="0" w:line="300" w:lineRule="auto"/>
        <w:jc w:val="both"/>
        <w:rPr>
          <w:rFonts w:ascii="Arial" w:hAnsi="Arial" w:cs="Arial"/>
        </w:rPr>
      </w:pPr>
      <w:r w:rsidRPr="00171106">
        <w:rPr>
          <w:rFonts w:ascii="Arial" w:hAnsi="Arial" w:cs="Arial"/>
        </w:rPr>
        <w:t>Proponowana zmiana zakłada również dostosowanie sposobu kształtowania taryfy przedsiębiorstwa energetycznego zajmującego się obrotem energią elektryczną do ofert rynkowych funkcjonujących na rynku, gdzie koszty stałe są przenoszone w ramach opłaty stałej zwanej opłatą handlową. Przypisanie kosztów stałych obrotu energią elektryczną do opłaty abonamentowej pozwoli na bardziej elastyczne, dopasowane do potrzeb różnych grup odbiorców, kształtowanie opłaty zmiennej, tym samym wspierając proces transformacji energetycznej, którego podstawowym wymiarem jest powszechna elektryfikacja.</w:t>
      </w:r>
    </w:p>
    <w:p w14:paraId="0EFC03A8"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Projekt obejmuje sposób ustalania cen i stawek opłat dla działalności w zakresie wytwarzania, przesyłania, dystrybucji oraz obrotu energią elektryczną.  </w:t>
      </w:r>
    </w:p>
    <w:p w14:paraId="7524F8C7"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Projekt rozporządzenia w znacznej mierze kontynuuje dotychczasowe podejście regulacyjne. Do zagadnień regulowanych w projektowanym rozporządzeniu należą m.in.: </w:t>
      </w:r>
    </w:p>
    <w:p w14:paraId="2668E5B4"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kryteria podziału odbiorców na grupy taryfowe;  </w:t>
      </w:r>
    </w:p>
    <w:p w14:paraId="2140E42A"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lastRenderedPageBreak/>
        <w:t xml:space="preserve">podział podmiotów przyłączanych na grupy przyłączeniowe;  </w:t>
      </w:r>
    </w:p>
    <w:p w14:paraId="517DD475"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szczegółowe zasady ustalania opłat za przyłączenie do sieci, w tym sposób kalkulowania stawek opłat za przyłączenie; </w:t>
      </w:r>
    </w:p>
    <w:p w14:paraId="634C64FE"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rodzaje cen i stawek opłat dla każdej koncesjonowanej działalności gospodarczej oraz sposób ich kalkulowania;  </w:t>
      </w:r>
    </w:p>
    <w:p w14:paraId="04CB51F9"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uwzględniania w taryfach kosztów uzasadnionych wskazanych w art. 45 ust. 1a ustawy z dnia 10 kwietnia 1997 r. – Prawo energetyczne (Dz. U. z 2026 r. poz. 43 z późn. zm.), zwanej dalej „ustawą – Prawo energetyczne”, a także kosztów związanych z wykorzystaniem usług systemowych nabywanych od odbiorców energii na podstawie art. 9c ust. 2 pkt 8 ustawy – Prawo energetyczne;  </w:t>
      </w:r>
    </w:p>
    <w:p w14:paraId="07146DF0"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uwzględniania w taryfach poprawy efektywności, instalowania u odbiorców końcowych liczników zdalnego odczytu i zmiany warunków wykonywanej działalności przez przedsiębiorstwa energetyczne;  </w:t>
      </w:r>
    </w:p>
    <w:p w14:paraId="35CA57AC"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prowadzenia rozliczeń z odbiorcami oraz między przedsiębiorstwami energetycznymi, w tym w zakresie określonym w art. 45 ust. 1a ustawy – Prawo energetyczne;  </w:t>
      </w:r>
    </w:p>
    <w:p w14:paraId="2E921FE7"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prowadzenia rozliczeń za energię elektryczną pobieraną z sieci i wprowadzaną do sieci przez magazyn energii elektrycznej, w tym sposób obliczania współczynnika, o którym mowa w art. 45 ust. 10 ustawy – Prawo energetyczne; </w:t>
      </w:r>
    </w:p>
    <w:p w14:paraId="36DEA029"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ustalania bonifikat za niedotrzymanie parametrów jakościowych energii elektrycznej oraz standardów jakościowych obsługi odbiorców;  </w:t>
      </w:r>
    </w:p>
    <w:p w14:paraId="15B30410"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ustalania opłat za ponadumowny pobór energii biernej i przekroczenia mocy;  </w:t>
      </w:r>
    </w:p>
    <w:p w14:paraId="0FAF9203"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sposób ustalania opłat za nielegalny pobór energii elektrycznej; </w:t>
      </w:r>
    </w:p>
    <w:p w14:paraId="5D813968"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zakres usług wykonywanych na dodatkowe zlecenie odbiorcy i sposób ustalania opłat za te usługi; </w:t>
      </w:r>
    </w:p>
    <w:p w14:paraId="41842D16" w14:textId="77777777" w:rsidR="00171106" w:rsidRPr="00171106" w:rsidRDefault="00171106" w:rsidP="00171106">
      <w:pPr>
        <w:pStyle w:val="Akapitzlist"/>
        <w:numPr>
          <w:ilvl w:val="0"/>
          <w:numId w:val="6"/>
        </w:numPr>
        <w:spacing w:after="0" w:line="300" w:lineRule="auto"/>
        <w:jc w:val="both"/>
        <w:rPr>
          <w:rFonts w:ascii="Arial" w:hAnsi="Arial" w:cs="Arial"/>
        </w:rPr>
      </w:pPr>
      <w:r w:rsidRPr="00171106">
        <w:rPr>
          <w:rFonts w:ascii="Arial" w:hAnsi="Arial" w:cs="Arial"/>
        </w:rPr>
        <w:t xml:space="preserve">zakres informacji dołączanej przez przedsiębiorstwa do faktury wystawianej odbiorcy energii elektrycznej.  </w:t>
      </w:r>
    </w:p>
    <w:p w14:paraId="06C28AD3"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Taryfy powinny przenosić rzeczywiste koszty ponoszone przez przedsiębiorstwa energetyczne i zgodnie z zasadą costreflectivity odzwierciedlać koszty, jakie poszczególni użytkownicy powodują w systemie elektroenergetycznym. W tym kontekście projekt proponuje rozwiązanie dla nowo zdefiniowanej kategorii odbiorców, pobierających energię przy wykorzystaniu sieci o napięciu 110 kV lub wyższym i zużywających w obiekcie przemysłowym na potrzeby własne w ilości co najmniej 100 GWh rocznie, przewidując obniżenie dla tej grupy składnika stałego stawki sieciowej oraz składnika zmiennego stawki sieciowej. </w:t>
      </w:r>
    </w:p>
    <w:p w14:paraId="70546E5B"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Dodatkowo projekt przewiduje wprowadzenie stref czasowych w rozliczeniach opłaty jakościowej, promujących przesunięcie poboru energii na okresy niskich cen energii, występujących w okresach wysokiej generacji z OZE. W związku z tym, proponuje się usunięcie definicji tzw. odbiorcy specjalnego opłaty jakościowej, uprawniającej do stosowania przy wyliczeniu opłaty wynikającej ze stawki jakościowej współczynnika kos=0,1. </w:t>
      </w:r>
    </w:p>
    <w:p w14:paraId="721A919E"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Oddziaływanie projektowanego rozporządzenia w zakresie stref czasowych w opłacie jakościowej będzie miało charakter horyzontalny i skorzystać na nim będą mogły wszystkie podmioty zdolne do elastycznego kształtowania profilu zużycia energii elektrycznej i zagospodarowania nadwyżek generacji energii elektrycznej z OZE. </w:t>
      </w:r>
    </w:p>
    <w:p w14:paraId="00513E48" w14:textId="77777777" w:rsidR="00171106" w:rsidRPr="00171106" w:rsidRDefault="00171106" w:rsidP="00171106">
      <w:pPr>
        <w:spacing w:after="0" w:line="300" w:lineRule="auto"/>
        <w:jc w:val="both"/>
        <w:rPr>
          <w:rFonts w:ascii="Arial" w:hAnsi="Arial" w:cs="Arial"/>
        </w:rPr>
      </w:pPr>
      <w:r w:rsidRPr="00171106">
        <w:rPr>
          <w:rFonts w:ascii="Arial" w:hAnsi="Arial" w:cs="Arial"/>
        </w:rPr>
        <w:lastRenderedPageBreak/>
        <w:t xml:space="preserve">Obecne rozporządzenie taryfowe nie zawiera sposobu ustalania opłat za energię dostarczoną linią bezpośrednią, tj. opłaty solidarnościowej, do czego zobowiązuje art. 46 ust. 4 pkt 13 i 14 ustawy – Prawo energetyczne. Należy zatem określić na poziomie rozporządzenia sposób ustalania wyżej wymienionej opłaty, który przejściowo został uregulowany w art. 34 ustawy zmieniającej. </w:t>
      </w:r>
    </w:p>
    <w:p w14:paraId="47CF0894"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W rozporządzeniu proponuje się również uporządkować strukturę opłat, tj. usunąć opłatę abonamentową z części dystrybucyjnej rachunku w związku ze zmniejszającymi się kosztami odczytów inkasenckich w wyniku coraz większej liczby liczników zdalnego odczytu (LZO). Koszty odczytów i kontroli układów pomiarowo-rozliczeniowych będą uwzględniane w kalkulacji składnika stałego stawki sieciowej, co przełoży się na uproszczenie rachunku odbiorcy końcowego. Jednocześnie proponuje się wprowadzić stawkę opłaty abonamentowej w części dotyczącej obrotu energią elektryczną, w której będą wyodrębnione koszty stałe prowadzenia obrotu energią elektryczną, dotychczas przypisane do opłaty zmiennej dotyczącej obrotu tą energią. Działanie to zapewni możliwość porównywania taryf regulowanych z ofertami rynkowymi, a tym samym przyczyni się do większej transparentności rynku i zrozumiałego dla odbiorców wyboru produktów taryfowych (regulowanych lub rynkowych). W tym zakresie projekt wprowadza obowiązek zmiany obowiązujących taryf na 2026 r. w celu dostosowania ich do wymagań określonych w rozporządzeniu. </w:t>
      </w:r>
    </w:p>
    <w:p w14:paraId="6C88E6FD"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W przypadku zainstalowania u odbiorcy licznika zdalnego odczytu projekt przewiduje wprowadzenie obowiązku poinformowania odbiorcy końcowego przez sprzedawcę energii elektrycznej o możliwości przejścia na rozliczenia oparte na rzeczywistych odczytach. Celem tej zmiany jest umożliwienie odbiorcom świadomego skorzystania z rozliczeń opartych na faktycznym zużyciu energii elektrycznej, jednocześnie zachowując możliwość stosowania faktur prognozowanych. </w:t>
      </w:r>
    </w:p>
    <w:p w14:paraId="5B125C3D"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Projekt przewiduje zmianę polegającą na usunięciu obowiązku informowania o strukturze procentowej kosztów na fakturach za energię elektryczną dla odbiorców w gospodarstwach domowych. Zmiana ma na celu obniżenie kosztów sporządzania rachunków, tj. obsługi odbiorców końcowych oraz przyczyni się do działań deregulacyjnych mających na celu uproszczenie rachunków za energię elektryczną. </w:t>
      </w:r>
    </w:p>
    <w:p w14:paraId="6A697264"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Skutki regulacji w zakresie stawek sieciowych zostały oszacowane przy uwzględnieniu kryterium poboru z sieci o napięciu co najmniej 110 kV i zużycia na własne potrzeby ≥ 100 GWh rocznie i przy założeniu obniżenia składnika stałego stawki sieciowej stałej o 10% oraz składnika zmiennego stawki sieciowej zmiennej o 50%. Przewiduje się, że łączne korzyści dla takich odbiorców z tytułu niższych opłat sieciowych wyniosą ok. 316 mln zł. </w:t>
      </w:r>
    </w:p>
    <w:p w14:paraId="6A56452F"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Wpływ regulacji na poziom opłat sieciowych dla odbiorców końcowych nieobjętych nowo zdefiniowaną kategorią odbiorców o zużyciu na własne potrzeby na poziomie co najmniej 100 GWh rocznie będzie zależny od struktury poboru energii oraz udziału poszczególnych grup odbiorców w pokrywaniu kosztów działalności dystrybucyjnej. Zakłada się, że wprowadzenie preferencyjnych zasad rozliczeń dla wskazanej kategorii odbiorców może skutkować odpowiednim dostosowaniem poziomu opłat ponoszonych przez pozostałych odbiorców, przy czym rzeczywista skala tego wpływu będzie uzależniona od indywidualnego profilu zużycia oraz struktury taryfowej danego odbiorcy. </w:t>
      </w:r>
    </w:p>
    <w:p w14:paraId="7D3B343B" w14:textId="0AA91AA2" w:rsidR="00171106" w:rsidRPr="00171106" w:rsidRDefault="00171106" w:rsidP="00171106">
      <w:pPr>
        <w:spacing w:after="0" w:line="300" w:lineRule="auto"/>
        <w:jc w:val="both"/>
        <w:rPr>
          <w:rFonts w:ascii="Arial" w:hAnsi="Arial" w:cs="Arial"/>
        </w:rPr>
      </w:pPr>
      <w:r w:rsidRPr="00171106">
        <w:rPr>
          <w:rFonts w:ascii="Arial" w:hAnsi="Arial" w:cs="Arial"/>
        </w:rPr>
        <w:t xml:space="preserve">Jednocześnie proponowane rozwiązania, przez poprawę efektywności funkcjonowania KSE, lepsze wykorzystanie istniejącej infrastruktury oraz promowanie elektryfikacji, będą sprzyjać </w:t>
      </w:r>
      <w:r w:rsidRPr="00171106">
        <w:rPr>
          <w:rFonts w:ascii="Arial" w:hAnsi="Arial" w:cs="Arial"/>
        </w:rPr>
        <w:lastRenderedPageBreak/>
        <w:t>ograniczaniu całkowitych jednostkowych kosztów sieciowych, zaś utrzymanie wysokiego zużycia energii przez dużych odbiorców energochłonnych pozwoli na uniknięcie sytuacji, w której koszty sieciowe o charakterze stałym musiałyby zostać rozłożone na znacznie mniejszy wolumen poboru pozostałych odbiorców końcowych.</w:t>
      </w:r>
    </w:p>
    <w:p w14:paraId="03CA3A62" w14:textId="77777777" w:rsidR="00171106" w:rsidRDefault="00171106" w:rsidP="0000729D">
      <w:pPr>
        <w:spacing w:after="0" w:line="300" w:lineRule="auto"/>
        <w:jc w:val="both"/>
        <w:rPr>
          <w:rFonts w:ascii="Arial" w:hAnsi="Arial" w:cs="Arial"/>
        </w:rPr>
      </w:pPr>
    </w:p>
    <w:p w14:paraId="3FB4E971" w14:textId="77777777" w:rsidR="00171106" w:rsidRPr="00171106" w:rsidRDefault="00171106" w:rsidP="00171106">
      <w:pPr>
        <w:spacing w:after="0" w:line="300" w:lineRule="auto"/>
        <w:jc w:val="both"/>
        <w:rPr>
          <w:rFonts w:ascii="Arial" w:hAnsi="Arial" w:cs="Arial"/>
        </w:rPr>
      </w:pPr>
      <w:r w:rsidRPr="00171106">
        <w:rPr>
          <w:rFonts w:ascii="Arial" w:hAnsi="Arial" w:cs="Arial"/>
        </w:rPr>
        <w:t xml:space="preserve">Przedmiotowy projekt aktu prawnego wraz z Uzasadnieniem oraz Oceną Skutków Regulacji dostępny jest na stronach Rządowego Centrum Legislacji pod adresem: </w:t>
      </w:r>
    </w:p>
    <w:p w14:paraId="44313DFC" w14:textId="51EDFE87" w:rsidR="00171106" w:rsidRDefault="00171106" w:rsidP="00171106">
      <w:pPr>
        <w:spacing w:after="0" w:line="300" w:lineRule="auto"/>
        <w:jc w:val="both"/>
        <w:rPr>
          <w:rFonts w:ascii="Arial" w:hAnsi="Arial" w:cs="Arial"/>
        </w:rPr>
      </w:pPr>
      <w:hyperlink r:id="rId7" w:anchor="13216132" w:history="1">
        <w:r w:rsidRPr="009E6CDC">
          <w:rPr>
            <w:rStyle w:val="Hipercze"/>
            <w:rFonts w:ascii="Arial" w:hAnsi="Arial" w:cs="Arial"/>
          </w:rPr>
          <w:t>https://legislacja.rcl.gov.pl/projekt/12412556/katalog/13216132#13216132</w:t>
        </w:r>
      </w:hyperlink>
      <w:r>
        <w:rPr>
          <w:rFonts w:ascii="Arial" w:hAnsi="Arial" w:cs="Arial"/>
        </w:rPr>
        <w:t xml:space="preserve"> </w:t>
      </w:r>
    </w:p>
    <w:p w14:paraId="3B935548" w14:textId="77777777" w:rsidR="00171106" w:rsidRDefault="00171106" w:rsidP="00171106">
      <w:pPr>
        <w:spacing w:after="0" w:line="300" w:lineRule="auto"/>
        <w:jc w:val="both"/>
        <w:rPr>
          <w:rFonts w:ascii="Arial" w:hAnsi="Arial" w:cs="Arial"/>
        </w:rPr>
      </w:pPr>
    </w:p>
    <w:p w14:paraId="6DD42C03" w14:textId="4DA32C99" w:rsidR="00171106" w:rsidRDefault="00171106" w:rsidP="00171106">
      <w:pPr>
        <w:spacing w:after="0" w:line="300" w:lineRule="auto"/>
        <w:jc w:val="both"/>
        <w:rPr>
          <w:rFonts w:ascii="Arial" w:hAnsi="Arial" w:cs="Arial"/>
        </w:rPr>
      </w:pPr>
      <w:r w:rsidRPr="00171106">
        <w:rPr>
          <w:rFonts w:ascii="Arial" w:hAnsi="Arial" w:cs="Arial"/>
        </w:rPr>
        <w:t>Projekt jest obecnie jednocześnie na etapie uzgodnień, konsultacji publicznych i opiniowania.</w:t>
      </w:r>
    </w:p>
    <w:p w14:paraId="0E549436" w14:textId="77777777" w:rsidR="00171106" w:rsidRPr="0000729D" w:rsidRDefault="00171106" w:rsidP="0000729D">
      <w:pPr>
        <w:spacing w:after="0" w:line="300" w:lineRule="auto"/>
        <w:jc w:val="both"/>
        <w:rPr>
          <w:rFonts w:ascii="Arial" w:hAnsi="Arial" w:cs="Arial"/>
        </w:rPr>
      </w:pPr>
    </w:p>
    <w:p w14:paraId="623D53EC" w14:textId="7E81F959" w:rsidR="0000729D" w:rsidRPr="007931BE" w:rsidRDefault="007931BE" w:rsidP="00122926">
      <w:pPr>
        <w:pStyle w:val="Akapitzlist"/>
        <w:numPr>
          <w:ilvl w:val="0"/>
          <w:numId w:val="4"/>
        </w:numPr>
        <w:spacing w:after="0" w:line="300" w:lineRule="auto"/>
        <w:jc w:val="both"/>
        <w:rPr>
          <w:rFonts w:ascii="Arial" w:hAnsi="Arial" w:cs="Arial"/>
          <w:b/>
          <w:bCs/>
          <w:u w:val="single"/>
        </w:rPr>
      </w:pPr>
      <w:r w:rsidRPr="007931BE">
        <w:rPr>
          <w:rFonts w:ascii="Arial" w:hAnsi="Arial" w:cs="Arial"/>
          <w:b/>
          <w:bCs/>
          <w:u w:val="single"/>
        </w:rPr>
        <w:t>Projekt rozporządzenia Rady Ministrów w sprawie szczegółowych zasad i trybu wprowadzania ograniczeń w sprzedaży paliw stałych oraz w dostarczaniu i poborze energii elektrycznej lub ciepła (RD314).</w:t>
      </w:r>
    </w:p>
    <w:p w14:paraId="71CBD8E1" w14:textId="77777777" w:rsidR="0000729D" w:rsidRPr="007931BE" w:rsidRDefault="0000729D" w:rsidP="007931BE">
      <w:pPr>
        <w:spacing w:after="0" w:line="300" w:lineRule="auto"/>
        <w:jc w:val="both"/>
        <w:rPr>
          <w:rFonts w:ascii="Arial" w:hAnsi="Arial" w:cs="Arial"/>
        </w:rPr>
      </w:pPr>
    </w:p>
    <w:p w14:paraId="18CC3381"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Zmiana art. 11 ust. 6 i 6a ustawy – Prawo energetyczne (Dz. U. z 2026 r. poz. 43, z późn. zm.) (dalej „ustawa – Prawo energetyczne”), zawierających upoważnienie do wydania projektowanego rozporządzenia, dokonana ustawą z dnia 20 maja 2021 r. o zmianie ustawy – Prawo energetyczne oraz niektórych innych ustaw (Dz. U. poz. 1093, z późn. zm.), oraz zmiana art. 11 ust. 6a ustawy, dokonana ustawą z dnia 28 lipca 2023 r. o zmianie ustawy – Prawo energetyczne oraz niektórych innych ustaw (Dz. U. poz. 1681, z późn. zm.), powodują konieczność zastąpienia rozporządzenia Rady Ministrów z dnia 8 listopada 2021 r. w sprawie szczegółowych zasad i trybu wprowadzania ograniczeń w sprzedaży paliw stałych oraz w dostarczaniu i poborze energii elektrycznej lub ciepła (Dz. U. poz. 2209) nowym aktem prawnym uwzględniającym upoważnienie w zmienionym kształcie, obejmującym m.in. kwestie dotyczące wypłaty wynagrodzenia dla odbiorców, którzy w swoich obiektach podlegających ograniczeniom w dostarczaniu i poborze energii elektrycznej zastosowali się do tych ograniczeń. W pozostałym zakresie projektowane rozporządzenie powtarza rozwiązania zawarte w obowiązującym rozporządzeniu – są one trafne i ułatwią wdrożenie projektowanego aktu. </w:t>
      </w:r>
    </w:p>
    <w:p w14:paraId="6CE08A04"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Potrzeba wdrożenia wynagrodzenia za zastosowanie ograniczeń wynika z oceny zastosowania środka zaradczego w postaci wprowadzenia ograniczeń w dostarczaniu i poborze energii elektrycznej w sierpniu 2015 r., kiedy fala upałów obejmująca obszar całego kraju spowodowała zdecydowane pogorszenie warunków pracy Krajowego Systemu Elektroenergetycznego (zwanego dalej „KSE”). Pomimo wykorzystania przez operatora systemu przesyłowego elektroenergetycznego (zwanego dalej „OSP”) wszystkich operacyjnych środków zaradczych, deficyt mocy wytwórczych, dostępnych dla zbilansowania zapotrzebowania w KSE, osiągnął wartość wskazującą jednoznacznie na wystąpienie stanu zagrożenia bezpieczeństwa dostaw energii elektrycznej. W tych okolicznościach, po wyczerpaniu, we współpracy z użytkownikami systemu, wszelkich dostępnych środków służących zapewnieniu prawidłowego funkcjonowania systemu elektroenergetycznego, OSP wprowadził ograniczenia w dostarczaniu i poborze energii elektrycznej (w dniach 10–11 sierpnia w trybie na polecenie OSP, a w dniach 12–31 sierpnia w trybie rozporządzenia Rady Ministrów, wydanego na podstawie art. 11 ust. 7 ustawy – Prawo energetyczne). Jedynym </w:t>
      </w:r>
      <w:r w:rsidRPr="007931BE">
        <w:rPr>
          <w:rFonts w:ascii="Arial" w:hAnsi="Arial" w:cs="Arial"/>
        </w:rPr>
        <w:lastRenderedPageBreak/>
        <w:t xml:space="preserve">bodźcem zachęcającym do zastosowania się do ograniczeń w dostarczaniu i poborze energii elektrycznej był bodziec negatywny – zagrożenie ewentualną karą pieniężną nałożoną przez Prezesa Urzędu Regulacji Energetyki. Bodziec negatywny powinien być wzmocniony i równoważony bodźcem pozytywnym – zachęcającym do stosowania się do ograniczeń w dostarczaniu i poborze energii elektrycznej. Takim bodźcem powinno być wynagrodzenie za zmniejszenie poboru energii i zastosowanie się do ograniczeń w sytuacji, gdy nie będzie możliwe zbilansowanie systemu elektroenergetycznego i ograniczenia zostaną wprowadzone w drodze rozporządzenia Rady Ministrów, wydanego na podstawie art. 11 ust. 7 ustawy – Prawo energetyczne. </w:t>
      </w:r>
    </w:p>
    <w:p w14:paraId="7D1BB775"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Dotychczasowe regulacje dotyczące wprowadzania ograniczeń w dostarczaniu i poborze energii elektrycznej (stopni zasilania) obciążają przede wszystkim przedsiębiorców, których wielkość mocy umownej wynosi co najmniej 300 kW. W związku z powyższym, biorąc pod uwagę niezwykle istotne dla zachowania bezpiecznej pracy systemu (tj. uchronienie się przed wyłączeniami awaryjnymi odbiorców lub całego KSE), która spoczywa tylko na części odbiorców w systemie, proponuje się, żeby odbiorcy podlegający ograniczeniom otrzymali wynagrodzenie ryczałtowe za zrealizowanie redukcji, w ramach posiadanych obiektów, zgodnie z ogłoszonymi stopniami zasilania w okresie obowiązywania rozporządzenia Rady Ministrów, wydanego na podstawie art. 11 ust. 7 ustawy – Prawo energetyczne. Odbiorcy podlegający ograniczeniom przyczyniają się do zapewnienia bezpieczeństwa dostaw energii elektrycznej w obszarze KSE lub jego części, co pozwala uniknąć wyłączeń awaryjnych (a więc niekontrolowalnych) w KSE. Jest to działanie korzystne dla wszystkich podmiotów z niego korzystających, również tych podlegających ograniczeniom. </w:t>
      </w:r>
    </w:p>
    <w:p w14:paraId="2B59F506"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Wynagrodzenie ma na celu łagodzenie skutków wprowadzenia ograniczeń dla tych podmiotów, jednakże jego wysokość powinna także motywować odbiorców do przystępowania do świadczenia usług systemowych i udziału odbiorców w bilansowaniu KSE zgodnie ze stosowanymi mechanizmami rynkowymi. Przewiduje się, iż koszty wynagrodzenia byłyby pokrywane przychodami z opłaty jakościowej uzyskiwanymi przez operatora systemu przesyłowego elektroenergetycznego. Dzięki czemu będzie zapewniony element socjalizacji kosztów ograniczeń w dostarczaniu i poborze energii elektrycznej. Socjalizacja spowoduje, iż podmioty, które korzystają z ochrony przed ograniczeniami w dostarczaniu i poborze energii elektrycznej, również będą częściowo partycypowałyby w kosztach tych ograniczeń. </w:t>
      </w:r>
    </w:p>
    <w:p w14:paraId="3519A1D9" w14:textId="77777777" w:rsidR="007931BE" w:rsidRPr="007931BE" w:rsidRDefault="007931BE" w:rsidP="007931BE">
      <w:pPr>
        <w:spacing w:after="0" w:line="300" w:lineRule="auto"/>
        <w:jc w:val="both"/>
        <w:rPr>
          <w:rFonts w:ascii="Arial" w:hAnsi="Arial" w:cs="Arial"/>
        </w:rPr>
      </w:pPr>
      <w:r w:rsidRPr="007931BE">
        <w:rPr>
          <w:rFonts w:ascii="Arial" w:hAnsi="Arial" w:cs="Arial"/>
        </w:rPr>
        <w:t>W pozostałym zakresie projekt dokonuje niewielkich korekt dotychczasowych przepisów w zakresie wynikającym z jego stosowania, w celu usunięcia wątpliwości interpretacyjnych i uwzględnienia rozwiązań poprawiających stosowanie przepisów.</w:t>
      </w:r>
    </w:p>
    <w:p w14:paraId="3362E44A"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Rekomenduje się wydanie rozporządzenia uwzględniającego aktualne brzmienie upoważnienia, zawierającego nowe zagadnienia i powtarzającego w pozostałym zakresie rozwiązania obowiązującego rozporządzenia. </w:t>
      </w:r>
    </w:p>
    <w:p w14:paraId="73DCB848"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Projekt, w porównaniu z obowiązującym rozporządzeniem, zostanie uzupełniony o kwestie dotyczące: </w:t>
      </w:r>
    </w:p>
    <w:p w14:paraId="75969458"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przypadków, w których za wprowadzenie ograniczeń w dostarczaniu i poborze energii elektrycznej przysługuje odbiorcy wynagrodzenie; </w:t>
      </w:r>
    </w:p>
    <w:p w14:paraId="2CC5ED47"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sposobu ustalania danych niezbędnych do określenia wielkości dokonanego przez odbiorcę zmniejszenia zużycia ilości energii elektrycznej wynikającego z </w:t>
      </w:r>
      <w:r w:rsidRPr="007931BE">
        <w:rPr>
          <w:rFonts w:ascii="Arial" w:hAnsi="Arial" w:cs="Arial"/>
        </w:rPr>
        <w:lastRenderedPageBreak/>
        <w:t xml:space="preserve">wprowadzonych ograniczeń w dostarczaniu i poborze energii elektrycznej, za które przysługuje wynagrodzenie; </w:t>
      </w:r>
    </w:p>
    <w:p w14:paraId="402C99A1"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sposobu ustalania wynagrodzenia w przypadkach określonych na podstawie pkt 1; </w:t>
      </w:r>
    </w:p>
    <w:p w14:paraId="0A0E915B"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sposobu i trybu dokonywania rozliczeń pomiędzy operatorami systemu elektroenergetycznego oraz tymi operatorami i odbiorcami energii elektrycznej z tytułu wypłaty wynagrodzenia; </w:t>
      </w:r>
    </w:p>
    <w:p w14:paraId="6BEAF7B1"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uwzględnienia przepisów integrujących Krajowy System e-Faktur (KSeF) w procesie rozliczeń związanych z wypłatą wynagrodzeń; </w:t>
      </w:r>
    </w:p>
    <w:p w14:paraId="302D44E0"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sposobu i trybu wymiany informacji oraz zakresu i rodzaju przekazywanych danych pomiędzy operatorami systemu elektroenergetycznego oraz tymi operatorami i odbiorcami energii elektrycznej niezbędnych do wypłaty wynagrodzenia; </w:t>
      </w:r>
    </w:p>
    <w:p w14:paraId="53B81DB7" w14:textId="77777777" w:rsidR="007931BE" w:rsidRPr="007931BE" w:rsidRDefault="007931BE" w:rsidP="007931BE">
      <w:pPr>
        <w:pStyle w:val="Akapitzlist"/>
        <w:numPr>
          <w:ilvl w:val="0"/>
          <w:numId w:val="7"/>
        </w:numPr>
        <w:spacing w:after="0" w:line="300" w:lineRule="auto"/>
        <w:ind w:left="567" w:hanging="283"/>
        <w:jc w:val="both"/>
        <w:rPr>
          <w:rFonts w:ascii="Arial" w:hAnsi="Arial" w:cs="Arial"/>
        </w:rPr>
      </w:pPr>
      <w:r w:rsidRPr="007931BE">
        <w:rPr>
          <w:rFonts w:ascii="Arial" w:hAnsi="Arial" w:cs="Arial"/>
        </w:rPr>
        <w:t xml:space="preserve">zakresu i rodzaju danych, publikowanych przez operatorów systemów elektroenergetycznych, o odbiorcach energii elektrycznej podlegających ograniczeniom lub uwzględnianych w planach wprowadzania ograniczeń w dostarczaniu i poborze energii elektrycznej. </w:t>
      </w:r>
    </w:p>
    <w:p w14:paraId="5958D53D"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W celu promowania usług o dobrowolnym charakterze, minimalizujących konieczność wprowadzenia ograniczeń w dostarczaniu i poborze energii elektrycznej, proponuje się, aby w projektowanym rozporządzeniu był zawarty katalog danych podlegających publikacji o podmiotach posiadających obiekty podlegające ograniczeniom – potencjalnie zdolnych do świadczenia takich usług. Pozwoli to na łatwiejsze dotarcie do zainteresowanych podmiotów tzw. agregatorom, reprezentującym odbiorców w relacjach z operatorami systemów elektroenergetycznych. Publikacja danych, które są jawne w innych rejestrach, pozwoli na zwiększenie potencjału dostępnych redukcji mocy, a tym samym zwiększenie udziału strony popytowej w rynku energii elektrycznej i usług systemowych. </w:t>
      </w:r>
    </w:p>
    <w:p w14:paraId="3FF9643F" w14:textId="77777777" w:rsidR="007931BE" w:rsidRPr="007931BE" w:rsidRDefault="007931BE" w:rsidP="007931BE">
      <w:pPr>
        <w:spacing w:after="0" w:line="300" w:lineRule="auto"/>
        <w:jc w:val="both"/>
        <w:rPr>
          <w:rFonts w:ascii="Arial" w:hAnsi="Arial" w:cs="Arial"/>
        </w:rPr>
      </w:pPr>
      <w:r w:rsidRPr="007931BE">
        <w:rPr>
          <w:rFonts w:ascii="Arial" w:hAnsi="Arial" w:cs="Arial"/>
        </w:rPr>
        <w:t>Zasady ustalania wysokości wynagrodzenia uwzględniają charakterystykę (cechy, uwarunkowania) modelu zawartego w ustawie – Prawo energetyczne. Wybrany model wynagradzania (z uwzględnieniem uciążliwości poszczególnych stopni zasilania dla działalności prowadzonej przez poszczególnych odbiorców powinien realizować również funkcję zachęty i spełniać rolę bodźca, aby odbiorcy wybierali aktywne uczestnictwo w rynku energii elektrycznej, tj. wykorzystywali istniejące instrumenty rynkowe np. oferowane przez rynek mocy albo przez rynek bilansujący. Innymi słowy, mechanizm powinien zachęcać odbiorców do bycia aktywnym na rynku energii elektrycznej. Tylko w takim przypadku powyżej wymieniony mechanizm będzie jednym z narzędzi uniknięcia stosowania instrumentu o charakterze administracyjnym.</w:t>
      </w:r>
    </w:p>
    <w:p w14:paraId="5D878B9E"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Konstruując przepisy w zakresie rozliczeń, określono niezbędne zasady współpracy operatorów systemów dystrybucyjnych elektroenergetycznych (OSD) z OSP, dotyczące sposobu weryfikacji dostosowania się odbiorców przyłączonych do sieci OSD do ograniczeń oraz dokumentów rozliczeniowych wystawianych przez odbiorców przyłączonych do sieci OSD, a także opracowywania i przekazywania niezbędnych raportów rozliczeniowych tak, aby zapewnić sprawny proces rozliczeń z odbiorcami przyłączonymi do sieci tych operatorów. </w:t>
      </w:r>
    </w:p>
    <w:p w14:paraId="34041839"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Zaproponowana regulacja uwzględnia przepisy zamieszczone w aktach normatywnych dotyczących prawa podatkowego. </w:t>
      </w:r>
    </w:p>
    <w:p w14:paraId="1EF13786" w14:textId="1C2204CC" w:rsidR="007931BE" w:rsidRPr="007931BE" w:rsidRDefault="007931BE" w:rsidP="007931BE">
      <w:pPr>
        <w:spacing w:after="0" w:line="300" w:lineRule="auto"/>
        <w:jc w:val="both"/>
        <w:rPr>
          <w:rFonts w:ascii="Arial" w:hAnsi="Arial" w:cs="Arial"/>
        </w:rPr>
      </w:pPr>
      <w:r w:rsidRPr="007931BE">
        <w:rPr>
          <w:rFonts w:ascii="Arial" w:hAnsi="Arial" w:cs="Arial"/>
        </w:rPr>
        <w:lastRenderedPageBreak/>
        <w:t>W zakresie regulacji dotyczącej ograniczeń w dostarczaniu ciepła i sprzedaży paliw stałych wprowadzono zmiany redakcyjne, polegające na ujednoliceniu przepisów z regulacjami dotyczącymi ograniczeń w dostarczaniu i poborze energii elektrycznej.</w:t>
      </w:r>
    </w:p>
    <w:p w14:paraId="41E65673" w14:textId="77777777" w:rsidR="007931BE" w:rsidRDefault="007931BE" w:rsidP="0000729D">
      <w:pPr>
        <w:spacing w:after="0" w:line="300" w:lineRule="auto"/>
        <w:jc w:val="both"/>
        <w:rPr>
          <w:rFonts w:ascii="Arial" w:hAnsi="Arial" w:cs="Arial"/>
        </w:rPr>
      </w:pPr>
    </w:p>
    <w:p w14:paraId="15295868" w14:textId="77777777" w:rsidR="007931BE" w:rsidRPr="007931BE" w:rsidRDefault="007931BE" w:rsidP="007931BE">
      <w:pPr>
        <w:spacing w:after="0" w:line="300" w:lineRule="auto"/>
        <w:jc w:val="both"/>
        <w:rPr>
          <w:rFonts w:ascii="Arial" w:hAnsi="Arial" w:cs="Arial"/>
        </w:rPr>
      </w:pPr>
      <w:r w:rsidRPr="007931BE">
        <w:rPr>
          <w:rFonts w:ascii="Arial" w:hAnsi="Arial" w:cs="Arial"/>
        </w:rPr>
        <w:t xml:space="preserve">Przedmiotowy projekt aktu prawnego wraz z Uzasadnieniem oraz Oceną Skutków Regulacji dostępny jest na stronach Rządowego Centrum Legislacji pod adresem: </w:t>
      </w:r>
    </w:p>
    <w:p w14:paraId="270209DB" w14:textId="6F510248" w:rsidR="007931BE" w:rsidRDefault="007931BE" w:rsidP="007931BE">
      <w:pPr>
        <w:spacing w:after="0" w:line="300" w:lineRule="auto"/>
        <w:jc w:val="both"/>
        <w:rPr>
          <w:rFonts w:ascii="Arial" w:hAnsi="Arial" w:cs="Arial"/>
        </w:rPr>
      </w:pPr>
      <w:hyperlink r:id="rId8" w:anchor="13216310" w:history="1">
        <w:r w:rsidRPr="009E6CDC">
          <w:rPr>
            <w:rStyle w:val="Hipercze"/>
            <w:rFonts w:ascii="Arial" w:hAnsi="Arial" w:cs="Arial"/>
          </w:rPr>
          <w:t>https://legislacja.rcl.gov.pl/projekt/12412602/katalog/13216310#13216310</w:t>
        </w:r>
      </w:hyperlink>
      <w:r>
        <w:rPr>
          <w:rFonts w:ascii="Arial" w:hAnsi="Arial" w:cs="Arial"/>
        </w:rPr>
        <w:t xml:space="preserve"> </w:t>
      </w:r>
    </w:p>
    <w:p w14:paraId="65F4AB6B" w14:textId="77777777" w:rsidR="007931BE" w:rsidRDefault="007931BE" w:rsidP="007931BE">
      <w:pPr>
        <w:spacing w:after="0" w:line="300" w:lineRule="auto"/>
        <w:jc w:val="both"/>
        <w:rPr>
          <w:rFonts w:ascii="Arial" w:hAnsi="Arial" w:cs="Arial"/>
        </w:rPr>
      </w:pPr>
    </w:p>
    <w:p w14:paraId="0853D231" w14:textId="16DB66BD" w:rsidR="007931BE" w:rsidRDefault="007931BE" w:rsidP="007931BE">
      <w:pPr>
        <w:spacing w:after="0" w:line="300" w:lineRule="auto"/>
        <w:jc w:val="both"/>
        <w:rPr>
          <w:rFonts w:ascii="Arial" w:hAnsi="Arial" w:cs="Arial"/>
        </w:rPr>
      </w:pPr>
      <w:r w:rsidRPr="007931BE">
        <w:rPr>
          <w:rFonts w:ascii="Arial" w:hAnsi="Arial" w:cs="Arial"/>
        </w:rPr>
        <w:t>Projekt jest obecnie jednocześnie na etapie uzgodnień, konsultacji publicznych i opiniowania.</w:t>
      </w:r>
    </w:p>
    <w:p w14:paraId="18790011" w14:textId="77777777" w:rsidR="007931BE" w:rsidRPr="0000729D" w:rsidRDefault="007931BE" w:rsidP="0000729D">
      <w:pPr>
        <w:spacing w:after="0" w:line="300" w:lineRule="auto"/>
        <w:jc w:val="both"/>
        <w:rPr>
          <w:rFonts w:ascii="Arial" w:hAnsi="Arial" w:cs="Arial"/>
        </w:rPr>
      </w:pPr>
    </w:p>
    <w:p w14:paraId="0185901A" w14:textId="4E70E87B" w:rsidR="00122926" w:rsidRPr="00981736" w:rsidRDefault="00981736" w:rsidP="00122926">
      <w:pPr>
        <w:pStyle w:val="Akapitzlist"/>
        <w:numPr>
          <w:ilvl w:val="0"/>
          <w:numId w:val="4"/>
        </w:numPr>
        <w:spacing w:after="0" w:line="300" w:lineRule="auto"/>
        <w:jc w:val="both"/>
        <w:rPr>
          <w:rFonts w:ascii="Arial" w:hAnsi="Arial" w:cs="Arial"/>
          <w:b/>
          <w:bCs/>
          <w:u w:val="single"/>
        </w:rPr>
      </w:pPr>
      <w:r w:rsidRPr="00981736">
        <w:rPr>
          <w:rFonts w:ascii="Arial" w:hAnsi="Arial" w:cs="Arial"/>
          <w:b/>
          <w:bCs/>
          <w:u w:val="single"/>
        </w:rPr>
        <w:t>Projekt rozporządzenia zmieniającego rozporządzenie w sprawie wzorów deklaracji podatkowych w sprawie podatku akcyzowego oraz deklaracji w sprawie przedpłaty podatku akcyzowego (102).</w:t>
      </w:r>
    </w:p>
    <w:p w14:paraId="7BF5F44F" w14:textId="77777777" w:rsidR="00122926" w:rsidRPr="00981736" w:rsidRDefault="00122926" w:rsidP="00981736">
      <w:pPr>
        <w:spacing w:after="0" w:line="300" w:lineRule="auto"/>
        <w:jc w:val="both"/>
        <w:rPr>
          <w:rFonts w:ascii="Arial" w:hAnsi="Arial" w:cs="Arial"/>
        </w:rPr>
      </w:pPr>
    </w:p>
    <w:p w14:paraId="309A4BC5" w14:textId="77777777" w:rsidR="00981736" w:rsidRPr="00981736" w:rsidRDefault="00981736" w:rsidP="00981736">
      <w:pPr>
        <w:spacing w:after="0" w:line="300" w:lineRule="auto"/>
        <w:jc w:val="both"/>
        <w:rPr>
          <w:rFonts w:ascii="Arial" w:hAnsi="Arial" w:cs="Arial"/>
        </w:rPr>
      </w:pPr>
      <w:r w:rsidRPr="00981736">
        <w:rPr>
          <w:rFonts w:ascii="Arial" w:hAnsi="Arial" w:cs="Arial"/>
        </w:rPr>
        <w:t xml:space="preserve">Projekt rozporządzenia Ministra Finansów i Gospodarki zmieniającego rozporządzenie w sprawie wzorów deklaracji podatkowych w sprawie podatku akcyzowego oraz deklaracji w sprawie przedpłaty podatku akcyzowego, zwany dalej „projektem rozporządzenia”, został sporządzony w celu dostosowania przepisów rozporządzenia Ministra Finansów z dnia 17 grudnia 2021 r. w sprawie wzorów deklaracji podatkowych w sprawie podatku akcyzowego oraz deklaracji w sprawie przedpłaty podatku akcyzowego (Dz. U. z 2024 r. poz. 1082, z późn. zm.) do zmian wynikających z ustawy z dnia 29 maja 2026 r. o zmianie ustawy – Ordynacja podatkowa oraz niektórych innych ustaw (Dz.U. poz. 846), która wprowadziła m.in. zmianę art. 75 poprzez uchylenie § 3 w brzmieniu: ,,§ 3. Jeżeli z przepisów prawa podatkowego wynika obowiązek złożenia zeznania (deklaracji), to podatnik, płatnik lub inkasent równocześnie z wnioskiem o stwierdzenie nadpłaty jest obowiązany złożyć skorygowane zeznanie (deklarację).”. W konsekwencji, zniesiony zostaje wymóg składania wniosku o stwierdzenie nadpłaty w przypadku, gdy nadpłata wynika ze skorygowanej deklaracji.  </w:t>
      </w:r>
    </w:p>
    <w:p w14:paraId="2A598D40" w14:textId="77777777" w:rsidR="00981736" w:rsidRPr="00981736" w:rsidRDefault="00981736" w:rsidP="00981736">
      <w:pPr>
        <w:spacing w:after="0" w:line="300" w:lineRule="auto"/>
        <w:jc w:val="both"/>
        <w:rPr>
          <w:rFonts w:ascii="Arial" w:hAnsi="Arial" w:cs="Arial"/>
        </w:rPr>
      </w:pPr>
      <w:r w:rsidRPr="00981736">
        <w:rPr>
          <w:rFonts w:ascii="Arial" w:hAnsi="Arial" w:cs="Arial"/>
        </w:rPr>
        <w:t xml:space="preserve">Przed wprowadzeniem tej zmiany przepisy ustawy - Ordynacja podatkowa wymagały, aby wraz z korektą deklaracji, z której wynika nadpłata, podatnik złożył wniosek o stwierdzenie nadpłaty. Dla umożliwienia dokonania tej czynności w ramach jednego procesu, rozporządzeniem Ministra Finansów z dnia 17 grudnia 2021 r. w sprawie wzorów deklaracji podatkowych w sprawie podatku akcyzowego oraz deklaracji w sprawie przedpłaty podatku akcyzowego (Dz. U. poz. 2436), które weszło w życie z dniem 1 stycznia 2022 r., w części A wzorów deklaracji o symbolach AKC-4/AKC-4zo, AKC-WW, AKC-EN, AKC-WG, AKCST/AKC-STn i AKC-PA wprowadzono dodatkowe pozycje ,,wniosek o stwierdzenie nadpłaty powstałej w wyniku korekty deklaracji” wraz z miejscem na uzasadnienie (w którym wnioskodawca winien wpisać również kwotę nadpłaty, o której stwierdzenie wnioskuje). Poprzez tę zmianę umożliwiono wnioskowanie o stwierdzenie nadpłaty poprzez zaznaczenie dedykowanej pozycji w deklaracji i uzasadnienie powodów wnioskowania o stwierdzenie nadpłaty. Była to zmiana o charakterze technicznym mająca na celu usprawnienie działań zarówno po stronie wnioskodawcy, jak i organu, tak by podatnik składając korektę deklaracji w postaci elektronicznej miał możliwości złożenia jednocześnie wniosku o stwierdzenie nadpłaty w ramach jednego procesu, a organ nie był zobligowany do wzywania podatnika do złożenia tego wniosku.  </w:t>
      </w:r>
    </w:p>
    <w:p w14:paraId="488C8B12" w14:textId="77777777" w:rsidR="00981736" w:rsidRPr="00981736" w:rsidRDefault="00981736" w:rsidP="00981736">
      <w:pPr>
        <w:spacing w:after="0" w:line="300" w:lineRule="auto"/>
        <w:jc w:val="both"/>
        <w:rPr>
          <w:rFonts w:ascii="Arial" w:hAnsi="Arial" w:cs="Arial"/>
        </w:rPr>
      </w:pPr>
      <w:r w:rsidRPr="00981736">
        <w:rPr>
          <w:rFonts w:ascii="Arial" w:hAnsi="Arial" w:cs="Arial"/>
        </w:rPr>
        <w:lastRenderedPageBreak/>
        <w:t xml:space="preserve">Z uwagi jednak na zmianę art. 75 ustawy – Ordynacja podatkowa od dnia 1 października 2026 r. uchylony zostaje wymóg składania wniosku o stwierdzenie nadpłaty w przypadku, gdy nadpłata wynika ze skorygowanej deklaracji (uchylenie art. 75 § 3). Pola dotyczące wniosku o stwierdzenie nadpłaty we wzorach deklaracji o symbolach AKC-4/AKC-4zo, AKC-WW/AKCWWn, AKC-EN, AKC-WG, AKC-ST/AKC-STn i AKC-PA stają się tym samym zbędne. Usunięcie pól dotyczących wniosku o stwierdzenie nadpłaty w tych wzorach jest czynnością stricte techniczną, będącą konsekwencją zmian w ustawie – Ordynacja podatkowa.  </w:t>
      </w:r>
    </w:p>
    <w:p w14:paraId="52BFFB91" w14:textId="77777777" w:rsidR="00981736" w:rsidRPr="00981736" w:rsidRDefault="00981736" w:rsidP="00981736">
      <w:pPr>
        <w:spacing w:after="0" w:line="300" w:lineRule="auto"/>
        <w:jc w:val="both"/>
        <w:rPr>
          <w:rFonts w:ascii="Arial" w:hAnsi="Arial" w:cs="Arial"/>
        </w:rPr>
      </w:pPr>
      <w:r w:rsidRPr="00981736">
        <w:rPr>
          <w:rFonts w:ascii="Arial" w:hAnsi="Arial" w:cs="Arial"/>
        </w:rPr>
        <w:t xml:space="preserve">Dodatkowo, w  przypadku deklaracji AKC-PA, w wyniku usunięcia ww. pól dot. wniosku o nadpłatę i powstałą w wyniku tego zabiegu zmianą numeracji kolejnych pól (w szczególności numeracji dot. pól pt. „Nadwyżka przedpłaty podatku akcyzowego” oraz „Przedpłata podatku akcyzowego do zapłaty” gdzie numery zmieniły się z 22 i 23 na 20 i 21) powstała konieczność aktualizacji tych załączników szczegółowych do deklaracji AKC-4/AKC-4zo, które są skorelowane z ww. polami. Chodzi tu o załączniki szczegółowe o symbolach AKC-4/A, AKC4/B, AKC-4/C, AKC-4/D, AKC-4/F, AKC-4/I, AKC-4/J, AKC-4/K, AKC-4/M, AKC-4/N, AKC4/O, AKC-4/P i AKC-4/R.  W nowych wersjach wzorów tych załączników szczegółowych zmodyfikowane zostało zawarte w części D pt. „Rozliczenie podatku akcyzowego” odniesienie do ww. pól deklaracji AKC-PA. </w:t>
      </w:r>
    </w:p>
    <w:p w14:paraId="2A22D533" w14:textId="77777777" w:rsidR="00981736" w:rsidRPr="00981736" w:rsidRDefault="00981736" w:rsidP="00981736">
      <w:pPr>
        <w:spacing w:after="0" w:line="300" w:lineRule="auto"/>
        <w:jc w:val="both"/>
        <w:rPr>
          <w:rFonts w:ascii="Arial" w:hAnsi="Arial" w:cs="Arial"/>
        </w:rPr>
      </w:pPr>
      <w:r w:rsidRPr="00981736">
        <w:rPr>
          <w:rFonts w:ascii="Arial" w:hAnsi="Arial" w:cs="Arial"/>
        </w:rPr>
        <w:t xml:space="preserve">Z uwagi na powyższe, projekt rozporządzenia określa nowe wersje następujących wzorów: </w:t>
      </w:r>
    </w:p>
    <w:p w14:paraId="1559D21B" w14:textId="77777777" w:rsidR="00981736" w:rsidRPr="00981736" w:rsidRDefault="00981736" w:rsidP="00981736">
      <w:pPr>
        <w:pStyle w:val="Akapitzlist"/>
        <w:numPr>
          <w:ilvl w:val="0"/>
          <w:numId w:val="8"/>
        </w:numPr>
        <w:spacing w:after="0" w:line="300" w:lineRule="auto"/>
        <w:ind w:left="567" w:hanging="283"/>
        <w:jc w:val="both"/>
        <w:rPr>
          <w:rFonts w:ascii="Arial" w:hAnsi="Arial" w:cs="Arial"/>
        </w:rPr>
      </w:pPr>
      <w:r w:rsidRPr="00981736">
        <w:rPr>
          <w:rFonts w:ascii="Arial" w:hAnsi="Arial" w:cs="Arial"/>
        </w:rPr>
        <w:t xml:space="preserve">deklaracja w sprawie podatku akcyzowego AKC-4/AKC-4zo (zał. nr 1) wraz z załącznikami szczegółowymi o symbolach AKC-4/A, AKC-4/B, AKC-4/C, AKC-4/D, AKC-4/F, AKC-4/I, AKC-4/J,  AKC-4/K, AKC-4/M, AKC-4/N, AKC-4/O, AKC-4/P i AKC4/R (zał. nr 2-14) </w:t>
      </w:r>
    </w:p>
    <w:p w14:paraId="31DE21B6" w14:textId="77777777" w:rsidR="00981736" w:rsidRPr="00981736" w:rsidRDefault="00981736" w:rsidP="00981736">
      <w:pPr>
        <w:pStyle w:val="Akapitzlist"/>
        <w:numPr>
          <w:ilvl w:val="0"/>
          <w:numId w:val="8"/>
        </w:numPr>
        <w:spacing w:after="0" w:line="300" w:lineRule="auto"/>
        <w:ind w:left="567" w:hanging="283"/>
        <w:jc w:val="both"/>
        <w:rPr>
          <w:rFonts w:ascii="Arial" w:hAnsi="Arial" w:cs="Arial"/>
        </w:rPr>
      </w:pPr>
      <w:r w:rsidRPr="00981736">
        <w:rPr>
          <w:rFonts w:ascii="Arial" w:hAnsi="Arial" w:cs="Arial"/>
        </w:rPr>
        <w:t xml:space="preserve">deklaracja w sprawie podatku akcyzowego od wyrobów węglowych (AKC-WW/AKCWWn) (zał. nr 15), </w:t>
      </w:r>
    </w:p>
    <w:p w14:paraId="31C01D08" w14:textId="77777777" w:rsidR="00981736" w:rsidRPr="00981736" w:rsidRDefault="00981736" w:rsidP="00981736">
      <w:pPr>
        <w:pStyle w:val="Akapitzlist"/>
        <w:numPr>
          <w:ilvl w:val="0"/>
          <w:numId w:val="8"/>
        </w:numPr>
        <w:spacing w:after="0" w:line="300" w:lineRule="auto"/>
        <w:ind w:left="567" w:hanging="283"/>
        <w:jc w:val="both"/>
        <w:rPr>
          <w:rFonts w:ascii="Arial" w:hAnsi="Arial" w:cs="Arial"/>
        </w:rPr>
      </w:pPr>
      <w:r w:rsidRPr="00981736">
        <w:rPr>
          <w:rFonts w:ascii="Arial" w:hAnsi="Arial" w:cs="Arial"/>
        </w:rPr>
        <w:t xml:space="preserve">deklaracja w sprawie podatku akcyzowego od nabycia wewnątrzwspólnotowego energii elektrycznej (AKC-EN) (zał. nr 16), </w:t>
      </w:r>
    </w:p>
    <w:p w14:paraId="3226948C" w14:textId="77777777" w:rsidR="00981736" w:rsidRPr="00981736" w:rsidRDefault="00981736" w:rsidP="00981736">
      <w:pPr>
        <w:pStyle w:val="Akapitzlist"/>
        <w:numPr>
          <w:ilvl w:val="0"/>
          <w:numId w:val="8"/>
        </w:numPr>
        <w:spacing w:after="0" w:line="300" w:lineRule="auto"/>
        <w:ind w:left="567" w:hanging="283"/>
        <w:jc w:val="both"/>
        <w:rPr>
          <w:rFonts w:ascii="Arial" w:hAnsi="Arial" w:cs="Arial"/>
        </w:rPr>
      </w:pPr>
      <w:r w:rsidRPr="00981736">
        <w:rPr>
          <w:rFonts w:ascii="Arial" w:hAnsi="Arial" w:cs="Arial"/>
        </w:rPr>
        <w:t>deklaracja w sprawie podatku akcyzowego od suszu tytoniowego (AKC-ST/AKC-STn) (zał. nr 17),</w:t>
      </w:r>
    </w:p>
    <w:p w14:paraId="0D1D9422" w14:textId="77777777" w:rsidR="00981736" w:rsidRPr="00981736" w:rsidRDefault="00981736" w:rsidP="00981736">
      <w:pPr>
        <w:pStyle w:val="Akapitzlist"/>
        <w:numPr>
          <w:ilvl w:val="0"/>
          <w:numId w:val="8"/>
        </w:numPr>
        <w:spacing w:after="0" w:line="300" w:lineRule="auto"/>
        <w:ind w:left="567" w:hanging="283"/>
        <w:jc w:val="both"/>
        <w:rPr>
          <w:rFonts w:ascii="Arial" w:hAnsi="Arial" w:cs="Arial"/>
        </w:rPr>
      </w:pPr>
      <w:r w:rsidRPr="00981736">
        <w:rPr>
          <w:rFonts w:ascii="Arial" w:hAnsi="Arial" w:cs="Arial"/>
        </w:rPr>
        <w:t xml:space="preserve">deklaracja w sprawie podatku akcyzowego od nabycia wewnątrzwspólnotowego wyrobów gazowych (z wyłączeniem gazu do napędu silników spalinowych) (AKC-WG) (zał. nr 18), </w:t>
      </w:r>
    </w:p>
    <w:p w14:paraId="42C88497" w14:textId="77777777" w:rsidR="00981736" w:rsidRPr="00981736" w:rsidRDefault="00981736" w:rsidP="00981736">
      <w:pPr>
        <w:pStyle w:val="Akapitzlist"/>
        <w:numPr>
          <w:ilvl w:val="0"/>
          <w:numId w:val="8"/>
        </w:numPr>
        <w:spacing w:after="0" w:line="300" w:lineRule="auto"/>
        <w:ind w:left="567" w:hanging="283"/>
        <w:jc w:val="both"/>
        <w:rPr>
          <w:rFonts w:ascii="Arial" w:hAnsi="Arial" w:cs="Arial"/>
        </w:rPr>
      </w:pPr>
      <w:r w:rsidRPr="00981736">
        <w:rPr>
          <w:rFonts w:ascii="Arial" w:hAnsi="Arial" w:cs="Arial"/>
        </w:rPr>
        <w:t xml:space="preserve">deklaracja w sprawie przedpłaty podatku akcyzowego (AKC-PA) (zał. nr 19). </w:t>
      </w:r>
    </w:p>
    <w:p w14:paraId="21935D17" w14:textId="77777777" w:rsidR="00981736" w:rsidRPr="00981736" w:rsidRDefault="00981736" w:rsidP="00981736">
      <w:pPr>
        <w:spacing w:after="0" w:line="300" w:lineRule="auto"/>
        <w:jc w:val="both"/>
        <w:rPr>
          <w:rFonts w:ascii="Arial" w:hAnsi="Arial" w:cs="Arial"/>
        </w:rPr>
      </w:pPr>
      <w:r w:rsidRPr="00981736">
        <w:rPr>
          <w:rFonts w:ascii="Arial" w:hAnsi="Arial" w:cs="Arial"/>
        </w:rPr>
        <w:t xml:space="preserve">W ww. nowych wersjach deklaracji AKC-4/AKC-4zo, AKC-WW/AKC-WWn, AKC-EN, AKCWG, AKC-ST/AKC-STn i AKC-PA usunięta zostaje pozycja nr 8 (wniosek o stwierdzenie nadpłaty powstałej w wyniku korekty deklaracji) oraz nr 9 (Uzasadnienie wniosku o stwierdzenie nadpłaty wraz z podaniem wysokości żądanej nadpłaty (wypełnić w przypadku zaznaczenia kwadratu w poz. 8), jak również powiązane z pozycją nr 8 objaśnienie wyjaśniające, że kwadrat w pozycji nr 8 należy zaznaczyć w przypadku, gdy podatnik razem z korektą deklaracji wnioskuje o stwierdzenie nadpłaty powstałej w jej wyniku zgodnie z art. 75 ustawy z dnia 29 sierpnia 1997 r. – Ordynacja podatkowa. W ww. wzorach doprecyzowano objaśnienie dotyczące podstawy korygowania deklaracji poprzez dodanie informacji o trybie wynikającym z art. 81b § 1a ustawy - Ordynacja podatkowa. Przypadek ten jest szczególną, odrębną od przypadku określonego w art. 81 ustawy - Ordynacja podatkowa, podstawą złożenia korekty </w:t>
      </w:r>
      <w:r w:rsidRPr="00981736">
        <w:rPr>
          <w:rFonts w:ascii="Arial" w:hAnsi="Arial" w:cs="Arial"/>
        </w:rPr>
        <w:lastRenderedPageBreak/>
        <w:t xml:space="preserve">deklaracji przewidzianą w ramach postępowania z zastosowaniem klauzuli przeciwko unikaniu opodatkowania. </w:t>
      </w:r>
    </w:p>
    <w:p w14:paraId="63C33966" w14:textId="2D66F2BB" w:rsidR="00981736" w:rsidRPr="00981736" w:rsidRDefault="00981736" w:rsidP="00981736">
      <w:pPr>
        <w:spacing w:after="0" w:line="300" w:lineRule="auto"/>
        <w:jc w:val="both"/>
        <w:rPr>
          <w:rFonts w:ascii="Arial" w:hAnsi="Arial" w:cs="Arial"/>
        </w:rPr>
      </w:pPr>
      <w:r w:rsidRPr="00981736">
        <w:rPr>
          <w:rFonts w:ascii="Arial" w:hAnsi="Arial" w:cs="Arial"/>
        </w:rPr>
        <w:t>We wzorach o symbolach AKC-4/AKC-4zo, AKC-WW/AKC-WWn, AKC-EN, AKC-WG, AKCST/AKC-STn zrezygnowano z objaśnienia dotyczącego identyfikatora podatkowego NIP oraz numeru PESEL w brzmieniu ,,Numer PESEL należy podać w przypadku osób fizycznych niebędących zarejestrowanymi podatnikami podatku od towarów i usług lub nieprowadzących działalności gospodarczej.”. Zasady używania przez podatników  identyfikatora podatkowego NIP albo numeru PESEL wynikają  z przepisów art. 3 ustawy z dnia 13 października 1995 r. o zasadach ewidencji i identyfikacji podatników i płatników (Dz.U. z 2026 r. poz. 151).</w:t>
      </w:r>
    </w:p>
    <w:p w14:paraId="25AA63C0" w14:textId="77777777" w:rsidR="00122926" w:rsidRDefault="00122926" w:rsidP="00122926">
      <w:pPr>
        <w:spacing w:after="0" w:line="300" w:lineRule="auto"/>
        <w:jc w:val="both"/>
        <w:rPr>
          <w:rFonts w:ascii="Arial" w:hAnsi="Arial" w:cs="Arial"/>
        </w:rPr>
      </w:pPr>
    </w:p>
    <w:p w14:paraId="19949CC9" w14:textId="77777777" w:rsidR="00981736" w:rsidRPr="00981736" w:rsidRDefault="00981736" w:rsidP="00981736">
      <w:pPr>
        <w:spacing w:after="0" w:line="300" w:lineRule="auto"/>
        <w:jc w:val="both"/>
        <w:rPr>
          <w:rFonts w:ascii="Arial" w:hAnsi="Arial" w:cs="Arial"/>
        </w:rPr>
      </w:pPr>
      <w:r w:rsidRPr="00981736">
        <w:rPr>
          <w:rFonts w:ascii="Arial" w:hAnsi="Arial" w:cs="Arial"/>
        </w:rPr>
        <w:t xml:space="preserve">Przedmiotowy projekt aktu prawnego wraz z załącznikami (szt. 19), Uzasadnieniem oraz Oceną Skutków Regulacji dostępny jest na stronach Rządowego Centrum Legislacji pod adresem: </w:t>
      </w:r>
    </w:p>
    <w:p w14:paraId="57E09B1E" w14:textId="177A0712" w:rsidR="00981736" w:rsidRDefault="00981736" w:rsidP="00981736">
      <w:pPr>
        <w:spacing w:after="0" w:line="300" w:lineRule="auto"/>
        <w:jc w:val="both"/>
        <w:rPr>
          <w:rFonts w:ascii="Arial" w:hAnsi="Arial" w:cs="Arial"/>
        </w:rPr>
      </w:pPr>
      <w:hyperlink r:id="rId9" w:anchor="13217454" w:history="1">
        <w:r w:rsidRPr="009E6CDC">
          <w:rPr>
            <w:rStyle w:val="Hipercze"/>
            <w:rFonts w:ascii="Arial" w:hAnsi="Arial" w:cs="Arial"/>
          </w:rPr>
          <w:t>https://legislacja.rcl.gov.pl/projekt/12412755/katalog/13217454#13217454</w:t>
        </w:r>
      </w:hyperlink>
      <w:r>
        <w:rPr>
          <w:rFonts w:ascii="Arial" w:hAnsi="Arial" w:cs="Arial"/>
        </w:rPr>
        <w:t xml:space="preserve"> </w:t>
      </w:r>
    </w:p>
    <w:p w14:paraId="7D512CAB" w14:textId="77777777" w:rsidR="00981736" w:rsidRDefault="00981736" w:rsidP="00122926">
      <w:pPr>
        <w:spacing w:after="0" w:line="300" w:lineRule="auto"/>
        <w:jc w:val="both"/>
        <w:rPr>
          <w:rFonts w:ascii="Arial" w:hAnsi="Arial" w:cs="Arial"/>
        </w:rPr>
      </w:pPr>
    </w:p>
    <w:p w14:paraId="5B3E20B5" w14:textId="6542FA97" w:rsidR="00981736" w:rsidRDefault="00981736" w:rsidP="00122926">
      <w:pPr>
        <w:spacing w:after="0" w:line="300" w:lineRule="auto"/>
        <w:jc w:val="both"/>
        <w:rPr>
          <w:rFonts w:ascii="Arial" w:hAnsi="Arial" w:cs="Arial"/>
        </w:rPr>
      </w:pPr>
      <w:r w:rsidRPr="00981736">
        <w:rPr>
          <w:rFonts w:ascii="Arial" w:hAnsi="Arial" w:cs="Arial"/>
        </w:rPr>
        <w:t>Projekt jest obecnie jednocześnie na etapie uzgodnień, konsultacji publicznych i opiniowania.</w:t>
      </w:r>
    </w:p>
    <w:p w14:paraId="4A3F7FCB" w14:textId="77777777" w:rsidR="00981736" w:rsidRDefault="00981736" w:rsidP="00122926">
      <w:pPr>
        <w:spacing w:after="0" w:line="300" w:lineRule="auto"/>
        <w:jc w:val="both"/>
        <w:rPr>
          <w:rFonts w:ascii="Arial" w:hAnsi="Arial" w:cs="Arial"/>
        </w:rPr>
      </w:pPr>
    </w:p>
    <w:p w14:paraId="5555018A" w14:textId="77777777" w:rsidR="00981736" w:rsidRDefault="00981736" w:rsidP="00122926">
      <w:pPr>
        <w:spacing w:after="0" w:line="300" w:lineRule="auto"/>
        <w:jc w:val="both"/>
        <w:rPr>
          <w:rFonts w:ascii="Arial" w:hAnsi="Arial" w:cs="Arial"/>
        </w:rPr>
      </w:pPr>
    </w:p>
    <w:p w14:paraId="144CE667" w14:textId="77777777" w:rsidR="0093222F" w:rsidRPr="0093222F" w:rsidRDefault="0093222F" w:rsidP="0093222F">
      <w:pPr>
        <w:spacing w:after="0" w:line="300" w:lineRule="auto"/>
        <w:rPr>
          <w:rFonts w:ascii="Arial" w:hAnsi="Arial" w:cs="Arial"/>
          <w:b/>
          <w:bCs/>
        </w:rPr>
      </w:pPr>
      <w:r w:rsidRPr="0093222F">
        <w:rPr>
          <w:rFonts w:ascii="Arial" w:hAnsi="Arial" w:cs="Arial"/>
          <w:b/>
          <w:bCs/>
        </w:rPr>
        <w:t>II. Stanowiska Związku Pracodawców Polska Miedź</w:t>
      </w:r>
    </w:p>
    <w:p w14:paraId="652FB384" w14:textId="77777777" w:rsidR="0093222F" w:rsidRPr="0093222F" w:rsidRDefault="0093222F" w:rsidP="0093222F">
      <w:pPr>
        <w:spacing w:after="0" w:line="300" w:lineRule="auto"/>
        <w:rPr>
          <w:rFonts w:ascii="Arial" w:hAnsi="Arial" w:cs="Arial"/>
        </w:rPr>
      </w:pPr>
    </w:p>
    <w:p w14:paraId="7206AE56" w14:textId="0CC10C44" w:rsidR="0093222F" w:rsidRPr="0093222F" w:rsidRDefault="0093222F" w:rsidP="0093222F">
      <w:pPr>
        <w:spacing w:after="0" w:line="300" w:lineRule="auto"/>
        <w:jc w:val="both"/>
        <w:rPr>
          <w:rFonts w:ascii="Arial" w:hAnsi="Arial" w:cs="Arial"/>
        </w:rPr>
      </w:pPr>
      <w:r w:rsidRPr="0093222F">
        <w:rPr>
          <w:rFonts w:ascii="Arial" w:hAnsi="Arial" w:cs="Arial"/>
        </w:rPr>
        <w:t xml:space="preserve">Na podstawie opinii i ekspertyz podmiotów członkowskich Związku Pracodawców Polska Miedź przygotowano </w:t>
      </w:r>
      <w:r>
        <w:rPr>
          <w:rFonts w:ascii="Arial" w:hAnsi="Arial" w:cs="Arial"/>
        </w:rPr>
        <w:t>jedno</w:t>
      </w:r>
      <w:r w:rsidRPr="0093222F">
        <w:rPr>
          <w:rFonts w:ascii="Arial" w:hAnsi="Arial" w:cs="Arial"/>
        </w:rPr>
        <w:t xml:space="preserve"> stanowisk</w:t>
      </w:r>
      <w:r>
        <w:rPr>
          <w:rFonts w:ascii="Arial" w:hAnsi="Arial" w:cs="Arial"/>
        </w:rPr>
        <w:t>o</w:t>
      </w:r>
      <w:r w:rsidRPr="0093222F">
        <w:rPr>
          <w:rFonts w:ascii="Arial" w:hAnsi="Arial" w:cs="Arial"/>
        </w:rPr>
        <w:t xml:space="preserve"> do opublikowanych projektów aktów prawnych oraz dokumentów strategicznych.</w:t>
      </w:r>
    </w:p>
    <w:p w14:paraId="055AFBDA" w14:textId="77777777" w:rsidR="0093222F" w:rsidRPr="0093222F" w:rsidRDefault="0093222F" w:rsidP="0093222F">
      <w:pPr>
        <w:spacing w:after="0" w:line="300" w:lineRule="auto"/>
        <w:jc w:val="both"/>
        <w:rPr>
          <w:rFonts w:ascii="Arial" w:hAnsi="Arial" w:cs="Arial"/>
        </w:rPr>
      </w:pPr>
    </w:p>
    <w:p w14:paraId="0E7C8F2C" w14:textId="70C85BF6" w:rsidR="0093222F" w:rsidRPr="00833E77" w:rsidRDefault="0093222F" w:rsidP="00833E77">
      <w:pPr>
        <w:spacing w:after="0" w:line="300" w:lineRule="auto"/>
        <w:ind w:left="708"/>
        <w:jc w:val="both"/>
        <w:rPr>
          <w:rFonts w:ascii="Arial" w:hAnsi="Arial" w:cs="Arial"/>
          <w:b/>
          <w:bCs/>
          <w:u w:val="single"/>
        </w:rPr>
      </w:pPr>
      <w:r w:rsidRPr="00833E77">
        <w:rPr>
          <w:rFonts w:ascii="Arial" w:hAnsi="Arial" w:cs="Arial"/>
          <w:b/>
          <w:bCs/>
          <w:u w:val="single"/>
        </w:rPr>
        <w:t xml:space="preserve">Stanowisko Związku Pracodawców Polska Miedź (uwagi Związku Pracodawców Polska Miedź) do projektu </w:t>
      </w:r>
      <w:r w:rsidR="00833E77" w:rsidRPr="00833E77">
        <w:rPr>
          <w:rFonts w:ascii="Arial" w:hAnsi="Arial" w:cs="Arial"/>
          <w:b/>
          <w:bCs/>
          <w:u w:val="single"/>
        </w:rPr>
        <w:t>rozporządzenia Ministra Energii w sprawie sposobu kształtowania i kalkulacji taryf oraz sposobu rozliczeń w obrocie energią elektryczną</w:t>
      </w:r>
      <w:r w:rsidRPr="00833E77">
        <w:rPr>
          <w:rFonts w:ascii="Arial" w:hAnsi="Arial" w:cs="Arial"/>
          <w:b/>
          <w:bCs/>
          <w:u w:val="single"/>
        </w:rPr>
        <w:t>.</w:t>
      </w:r>
    </w:p>
    <w:p w14:paraId="5B8D4E91" w14:textId="77777777" w:rsidR="0093222F" w:rsidRPr="0093222F" w:rsidRDefault="0093222F" w:rsidP="0093222F">
      <w:pPr>
        <w:spacing w:after="0" w:line="300" w:lineRule="auto"/>
        <w:jc w:val="both"/>
        <w:rPr>
          <w:rFonts w:ascii="Arial" w:hAnsi="Arial" w:cs="Arial"/>
        </w:rPr>
      </w:pPr>
    </w:p>
    <w:p w14:paraId="570C0ABC" w14:textId="4CFCB45B" w:rsidR="0093222F" w:rsidRPr="0093222F" w:rsidRDefault="0093222F" w:rsidP="0093222F">
      <w:pPr>
        <w:spacing w:after="0" w:line="300" w:lineRule="auto"/>
        <w:jc w:val="both"/>
        <w:rPr>
          <w:rFonts w:ascii="Arial" w:hAnsi="Arial" w:cs="Arial"/>
        </w:rPr>
      </w:pPr>
      <w:r w:rsidRPr="0093222F">
        <w:rPr>
          <w:rFonts w:ascii="Arial" w:hAnsi="Arial" w:cs="Arial"/>
        </w:rPr>
        <w:t xml:space="preserve">Projekt z dnia </w:t>
      </w:r>
      <w:r w:rsidR="00833E77">
        <w:rPr>
          <w:rFonts w:ascii="Arial" w:hAnsi="Arial" w:cs="Arial"/>
        </w:rPr>
        <w:t>17 lipca</w:t>
      </w:r>
      <w:r w:rsidRPr="0093222F">
        <w:rPr>
          <w:rFonts w:ascii="Arial" w:hAnsi="Arial" w:cs="Arial"/>
        </w:rPr>
        <w:t xml:space="preserve"> 2026 roku, opublikowany na stronie BIP Rządowego Centrum Legislacji w dniu </w:t>
      </w:r>
      <w:r w:rsidR="00833E77">
        <w:rPr>
          <w:rFonts w:ascii="Arial" w:hAnsi="Arial" w:cs="Arial"/>
        </w:rPr>
        <w:t>17 lip</w:t>
      </w:r>
      <w:r w:rsidRPr="0093222F">
        <w:rPr>
          <w:rFonts w:ascii="Arial" w:hAnsi="Arial" w:cs="Arial"/>
        </w:rPr>
        <w:t xml:space="preserve">ca 2026 roku (nr </w:t>
      </w:r>
      <w:r w:rsidR="00833E77">
        <w:rPr>
          <w:rFonts w:ascii="Arial" w:hAnsi="Arial" w:cs="Arial"/>
        </w:rPr>
        <w:t>2</w:t>
      </w:r>
      <w:r w:rsidRPr="0093222F">
        <w:rPr>
          <w:rFonts w:ascii="Arial" w:hAnsi="Arial" w:cs="Arial"/>
        </w:rPr>
        <w:t>8 w Wykazie prac legislacyjnych i programowych Rady Ministrów).</w:t>
      </w:r>
    </w:p>
    <w:p w14:paraId="234D1C72" w14:textId="0404A405" w:rsidR="00122926" w:rsidRPr="00CB4A6E" w:rsidRDefault="0093222F" w:rsidP="0093222F">
      <w:pPr>
        <w:spacing w:after="0" w:line="300" w:lineRule="auto"/>
        <w:jc w:val="both"/>
        <w:rPr>
          <w:rFonts w:ascii="Arial" w:hAnsi="Arial" w:cs="Arial"/>
        </w:rPr>
      </w:pPr>
      <w:r w:rsidRPr="0093222F">
        <w:rPr>
          <w:rFonts w:ascii="Arial" w:hAnsi="Arial" w:cs="Arial"/>
        </w:rPr>
        <w:t>Przedmiotowe stanowisko zostało przesłane do Ministerstwo Energii oraz reprezentatywnych organizacji pracodawców, z którymi Związek Pracodawców Polska Miedź współpracuje.</w:t>
      </w:r>
    </w:p>
    <w:p w14:paraId="1921861A" w14:textId="77777777" w:rsidR="0093222F" w:rsidRDefault="0093222F" w:rsidP="00122926">
      <w:pPr>
        <w:spacing w:after="0" w:line="300" w:lineRule="auto"/>
        <w:jc w:val="both"/>
        <w:rPr>
          <w:rFonts w:ascii="Arial" w:hAnsi="Arial" w:cs="Arial"/>
          <w:b/>
        </w:rPr>
      </w:pPr>
    </w:p>
    <w:p w14:paraId="5F717617" w14:textId="77777777" w:rsidR="0093222F" w:rsidRDefault="0093222F" w:rsidP="00122926">
      <w:pPr>
        <w:spacing w:after="0" w:line="300" w:lineRule="auto"/>
        <w:jc w:val="both"/>
        <w:rPr>
          <w:rFonts w:ascii="Arial" w:hAnsi="Arial" w:cs="Arial"/>
          <w:b/>
        </w:rPr>
      </w:pPr>
    </w:p>
    <w:p w14:paraId="6049122F" w14:textId="36225DB3" w:rsidR="00122926" w:rsidRDefault="0093222F" w:rsidP="00122926">
      <w:pPr>
        <w:spacing w:after="0" w:line="300" w:lineRule="auto"/>
        <w:jc w:val="both"/>
        <w:rPr>
          <w:rFonts w:ascii="Arial" w:hAnsi="Arial" w:cs="Arial"/>
          <w:b/>
        </w:rPr>
      </w:pPr>
      <w:r>
        <w:rPr>
          <w:rFonts w:ascii="Arial" w:hAnsi="Arial" w:cs="Arial"/>
          <w:b/>
        </w:rPr>
        <w:t>I</w:t>
      </w:r>
      <w:r w:rsidR="00122926">
        <w:rPr>
          <w:rFonts w:ascii="Arial" w:hAnsi="Arial" w:cs="Arial"/>
          <w:b/>
        </w:rPr>
        <w:t>II. Ogłoszone akty prawne (Dziennik Ustaw RP)</w:t>
      </w:r>
    </w:p>
    <w:p w14:paraId="6E4B8DEE" w14:textId="77777777" w:rsidR="00122926" w:rsidRDefault="00122926" w:rsidP="00122926">
      <w:pPr>
        <w:spacing w:after="0" w:line="300" w:lineRule="auto"/>
        <w:jc w:val="both"/>
        <w:rPr>
          <w:rFonts w:ascii="Arial" w:hAnsi="Arial" w:cs="Arial"/>
        </w:rPr>
      </w:pPr>
    </w:p>
    <w:p w14:paraId="6390E323" w14:textId="0A46BA63" w:rsidR="00122926" w:rsidRDefault="00122926" w:rsidP="00122926">
      <w:pPr>
        <w:spacing w:after="0" w:line="300" w:lineRule="auto"/>
        <w:jc w:val="both"/>
        <w:rPr>
          <w:rFonts w:ascii="Arial" w:hAnsi="Arial" w:cs="Arial"/>
        </w:rPr>
      </w:pPr>
      <w:r>
        <w:rPr>
          <w:rFonts w:ascii="Arial" w:hAnsi="Arial" w:cs="Arial"/>
        </w:rPr>
        <w:t>W analizowanym okresie ogłoszono</w:t>
      </w:r>
      <w:r w:rsidR="006E4AB4">
        <w:rPr>
          <w:rFonts w:ascii="Arial" w:hAnsi="Arial" w:cs="Arial"/>
        </w:rPr>
        <w:t xml:space="preserve"> 68 </w:t>
      </w:r>
      <w:r>
        <w:rPr>
          <w:rFonts w:ascii="Arial" w:hAnsi="Arial" w:cs="Arial"/>
        </w:rPr>
        <w:t>akt</w:t>
      </w:r>
      <w:r w:rsidR="006E4AB4">
        <w:rPr>
          <w:rFonts w:ascii="Arial" w:hAnsi="Arial" w:cs="Arial"/>
        </w:rPr>
        <w:t>ów</w:t>
      </w:r>
      <w:r>
        <w:rPr>
          <w:rFonts w:ascii="Arial" w:hAnsi="Arial" w:cs="Arial"/>
        </w:rPr>
        <w:t xml:space="preserve"> prawn</w:t>
      </w:r>
      <w:r w:rsidR="006E4AB4">
        <w:rPr>
          <w:rFonts w:ascii="Arial" w:hAnsi="Arial" w:cs="Arial"/>
        </w:rPr>
        <w:t>ych</w:t>
      </w:r>
      <w:r>
        <w:rPr>
          <w:rFonts w:ascii="Arial" w:hAnsi="Arial" w:cs="Arial"/>
        </w:rPr>
        <w:t>, tzn. ustaw, rozporządze</w:t>
      </w:r>
      <w:r w:rsidR="006E4AB4">
        <w:rPr>
          <w:rFonts w:ascii="Arial" w:hAnsi="Arial" w:cs="Arial"/>
        </w:rPr>
        <w:t>ń</w:t>
      </w:r>
      <w:r>
        <w:rPr>
          <w:rFonts w:ascii="Arial" w:hAnsi="Arial" w:cs="Arial"/>
        </w:rPr>
        <w:t xml:space="preserve"> Rady Ministrów, Prezesa Rady Ministrów i poszczególnych ministrów, obwieszcze</w:t>
      </w:r>
      <w:r w:rsidR="006E4AB4">
        <w:rPr>
          <w:rFonts w:ascii="Arial" w:hAnsi="Arial" w:cs="Arial"/>
        </w:rPr>
        <w:t>ń</w:t>
      </w:r>
      <w:r>
        <w:rPr>
          <w:rFonts w:ascii="Arial" w:hAnsi="Arial" w:cs="Arial"/>
        </w:rPr>
        <w:t xml:space="preserve"> w sprawie ogłoszenia tekstu jednolitego. Z powyższych publikacji w zainteresowaniu pracodawców i przedsiębiorców znaleźć się m</w:t>
      </w:r>
      <w:r w:rsidR="00F37E1B">
        <w:rPr>
          <w:rFonts w:ascii="Arial" w:hAnsi="Arial" w:cs="Arial"/>
        </w:rPr>
        <w:t>oże</w:t>
      </w:r>
      <w:r>
        <w:rPr>
          <w:rFonts w:ascii="Arial" w:hAnsi="Arial" w:cs="Arial"/>
        </w:rPr>
        <w:t xml:space="preserve"> następując</w:t>
      </w:r>
      <w:r w:rsidR="00F37E1B">
        <w:rPr>
          <w:rFonts w:ascii="Arial" w:hAnsi="Arial" w:cs="Arial"/>
        </w:rPr>
        <w:t>y</w:t>
      </w:r>
      <w:r>
        <w:rPr>
          <w:rFonts w:ascii="Arial" w:hAnsi="Arial" w:cs="Arial"/>
        </w:rPr>
        <w:t xml:space="preserve"> akt prawn</w:t>
      </w:r>
      <w:r w:rsidR="00F37E1B">
        <w:rPr>
          <w:rFonts w:ascii="Arial" w:hAnsi="Arial" w:cs="Arial"/>
        </w:rPr>
        <w:t>y</w:t>
      </w:r>
      <w:r>
        <w:rPr>
          <w:rFonts w:ascii="Arial" w:hAnsi="Arial" w:cs="Arial"/>
        </w:rPr>
        <w:t>:</w:t>
      </w:r>
    </w:p>
    <w:p w14:paraId="4866A356" w14:textId="77777777" w:rsidR="00122926" w:rsidRDefault="00122926" w:rsidP="00122926">
      <w:pPr>
        <w:spacing w:after="0" w:line="300" w:lineRule="auto"/>
        <w:jc w:val="both"/>
        <w:rPr>
          <w:rFonts w:ascii="Arial" w:hAnsi="Arial" w:cs="Arial"/>
        </w:rPr>
      </w:pPr>
    </w:p>
    <w:p w14:paraId="2494EA1E" w14:textId="18107886" w:rsidR="00122926" w:rsidRPr="00C1558B" w:rsidRDefault="00104B19" w:rsidP="00F37E1B">
      <w:pPr>
        <w:pStyle w:val="Akapitzlist"/>
        <w:spacing w:after="0" w:line="300" w:lineRule="auto"/>
        <w:ind w:left="426"/>
        <w:jc w:val="both"/>
        <w:rPr>
          <w:rFonts w:ascii="Arial" w:hAnsi="Arial" w:cs="Arial"/>
          <w:b/>
          <w:bCs/>
          <w:u w:val="single"/>
        </w:rPr>
      </w:pPr>
      <w:r w:rsidRPr="00C1558B">
        <w:rPr>
          <w:rFonts w:ascii="Arial" w:hAnsi="Arial" w:cs="Arial"/>
          <w:b/>
          <w:bCs/>
          <w:u w:val="single"/>
        </w:rPr>
        <w:lastRenderedPageBreak/>
        <w:t>Ustawa z dnia 29 maja 2026 r. o zmianie ustawy o pracowniczych planach kapitałowych oraz ustawy o szczególnych rozwiązaniach związanych z zapobieganiem, przeciwdziałaniem i zwalczaniem COVID-19, innych chorób zakaźnych oraz wywołanych nimi sytuacji kryzysowych</w:t>
      </w:r>
      <w:r w:rsidR="00122926" w:rsidRPr="00C1558B">
        <w:rPr>
          <w:rFonts w:ascii="Arial" w:hAnsi="Arial" w:cs="Arial"/>
          <w:b/>
          <w:bCs/>
          <w:u w:val="single"/>
        </w:rPr>
        <w:t>.</w:t>
      </w:r>
    </w:p>
    <w:p w14:paraId="27DEDD24" w14:textId="77777777" w:rsidR="00104B19" w:rsidRDefault="00104B19" w:rsidP="00104B19">
      <w:pPr>
        <w:spacing w:after="0" w:line="300" w:lineRule="auto"/>
        <w:jc w:val="both"/>
        <w:rPr>
          <w:rFonts w:ascii="Arial" w:eastAsia="Times New Roman" w:hAnsi="Arial" w:cs="Arial"/>
          <w:lang w:eastAsia="pl-PL"/>
        </w:rPr>
      </w:pPr>
    </w:p>
    <w:p w14:paraId="7FE64C7F" w14:textId="1045EA2F" w:rsidR="00122926" w:rsidRPr="00104B19" w:rsidRDefault="00122926" w:rsidP="00104B19">
      <w:pPr>
        <w:spacing w:after="0" w:line="300" w:lineRule="auto"/>
        <w:jc w:val="both"/>
        <w:rPr>
          <w:rFonts w:ascii="Arial" w:eastAsia="Times New Roman" w:hAnsi="Arial" w:cs="Arial"/>
          <w:lang w:eastAsia="pl-PL"/>
        </w:rPr>
      </w:pPr>
      <w:r w:rsidRPr="00104B19">
        <w:rPr>
          <w:rFonts w:ascii="Arial" w:eastAsia="Times New Roman" w:hAnsi="Arial" w:cs="Arial"/>
          <w:lang w:eastAsia="pl-PL"/>
        </w:rPr>
        <w:t xml:space="preserve">Powyższy akt prawny ogłoszony został </w:t>
      </w:r>
      <w:r w:rsidR="00C1558B">
        <w:rPr>
          <w:rFonts w:ascii="Arial" w:eastAsia="Times New Roman" w:hAnsi="Arial" w:cs="Arial"/>
          <w:lang w:eastAsia="pl-PL"/>
        </w:rPr>
        <w:t>23 lipca</w:t>
      </w:r>
      <w:r w:rsidRPr="00104B19">
        <w:rPr>
          <w:rFonts w:ascii="Arial" w:eastAsia="Times New Roman" w:hAnsi="Arial" w:cs="Arial"/>
          <w:lang w:eastAsia="pl-PL"/>
        </w:rPr>
        <w:t xml:space="preserve"> 202</w:t>
      </w:r>
      <w:r w:rsidR="00C1558B">
        <w:rPr>
          <w:rFonts w:ascii="Arial" w:eastAsia="Times New Roman" w:hAnsi="Arial" w:cs="Arial"/>
          <w:lang w:eastAsia="pl-PL"/>
        </w:rPr>
        <w:t>6</w:t>
      </w:r>
      <w:r w:rsidRPr="00104B19">
        <w:rPr>
          <w:rFonts w:ascii="Arial" w:eastAsia="Times New Roman" w:hAnsi="Arial" w:cs="Arial"/>
          <w:lang w:eastAsia="pl-PL"/>
        </w:rPr>
        <w:t xml:space="preserve"> roku w Dzienniku Ustaw (Dz.U. z 202</w:t>
      </w:r>
      <w:r w:rsidR="00C1558B">
        <w:rPr>
          <w:rFonts w:ascii="Arial" w:eastAsia="Times New Roman" w:hAnsi="Arial" w:cs="Arial"/>
          <w:lang w:eastAsia="pl-PL"/>
        </w:rPr>
        <w:t>6</w:t>
      </w:r>
      <w:r w:rsidRPr="00104B19">
        <w:rPr>
          <w:rFonts w:ascii="Arial" w:eastAsia="Times New Roman" w:hAnsi="Arial" w:cs="Arial"/>
          <w:lang w:eastAsia="pl-PL"/>
        </w:rPr>
        <w:t xml:space="preserve">, poz. </w:t>
      </w:r>
      <w:r w:rsidR="00C1558B">
        <w:rPr>
          <w:rFonts w:ascii="Arial" w:eastAsia="Times New Roman" w:hAnsi="Arial" w:cs="Arial"/>
          <w:lang w:eastAsia="pl-PL"/>
        </w:rPr>
        <w:t>989</w:t>
      </w:r>
      <w:r w:rsidRPr="00104B19">
        <w:rPr>
          <w:rFonts w:ascii="Arial" w:eastAsia="Times New Roman" w:hAnsi="Arial" w:cs="Arial"/>
          <w:lang w:eastAsia="pl-PL"/>
        </w:rPr>
        <w:t>).</w:t>
      </w:r>
    </w:p>
    <w:p w14:paraId="06B7357F" w14:textId="77777777" w:rsidR="00104B19" w:rsidRDefault="00104B19" w:rsidP="00104B19">
      <w:pPr>
        <w:spacing w:after="0" w:line="300" w:lineRule="auto"/>
        <w:jc w:val="both"/>
        <w:rPr>
          <w:rFonts w:ascii="Arial" w:eastAsia="Times New Roman" w:hAnsi="Arial" w:cs="Arial"/>
          <w:lang w:eastAsia="pl-PL"/>
        </w:rPr>
      </w:pPr>
    </w:p>
    <w:p w14:paraId="7AB9F197" w14:textId="77777777" w:rsidR="000E0AE3" w:rsidRDefault="000E0AE3" w:rsidP="00104B19">
      <w:pPr>
        <w:spacing w:after="0" w:line="300" w:lineRule="auto"/>
        <w:jc w:val="both"/>
        <w:rPr>
          <w:rFonts w:ascii="Arial" w:eastAsia="Times New Roman" w:hAnsi="Arial" w:cs="Arial"/>
          <w:lang w:eastAsia="pl-PL"/>
        </w:rPr>
      </w:pPr>
      <w:r w:rsidRPr="000E0AE3">
        <w:rPr>
          <w:rFonts w:ascii="Arial" w:eastAsia="Times New Roman" w:hAnsi="Arial" w:cs="Arial"/>
          <w:lang w:eastAsia="pl-PL"/>
        </w:rPr>
        <w:t xml:space="preserve">Celem ustawy jest trwałe wprowadzenie możliwości elektronicznego wzywania przez Polski Fundusz Rozwoju S.A. (PFR) podmiotów zatrudniających do zawarcia umowy o zarządzanie pracowniczym planem kapitałowym, w przypadku niewykonania tego obowiązku w ustawowym terminie. Przedmiot regulacji koncentruje się na zmianie formy doręczania wezwania, tj. odejściu od modelu papierowego na rzecz doręczeń elektronicznych za pośrednictwem profilu informacyjnego w systemie teleinformatycznym Zakładu Ubezpieczeń Społecznych (ZUS). </w:t>
      </w:r>
    </w:p>
    <w:p w14:paraId="334D61B6" w14:textId="77777777" w:rsidR="000E0AE3" w:rsidRDefault="000E0AE3" w:rsidP="00104B19">
      <w:pPr>
        <w:spacing w:after="0" w:line="300" w:lineRule="auto"/>
        <w:jc w:val="both"/>
        <w:rPr>
          <w:rFonts w:ascii="Arial" w:eastAsia="Times New Roman" w:hAnsi="Arial" w:cs="Arial"/>
          <w:lang w:eastAsia="pl-PL"/>
        </w:rPr>
      </w:pPr>
      <w:r w:rsidRPr="000E0AE3">
        <w:rPr>
          <w:rFonts w:ascii="Arial" w:eastAsia="Times New Roman" w:hAnsi="Arial" w:cs="Arial"/>
          <w:lang w:eastAsia="pl-PL"/>
        </w:rPr>
        <w:t xml:space="preserve">Ustawa stanowi kontynuację rozwiązania funkcjonującego uprzednio na podstawie przepisów szczególnych związanych z COVID-19. Kierowanie wezwań za pośrednictwem Platformy Usług Elektronicznych ZUS, jak wskazano w uzasadnieniu do projektu ustawy, okazało się rozwiązaniem efektywnym, oszczędnym i dobrze przyjętym przez przedsiębiorców.   </w:t>
      </w:r>
    </w:p>
    <w:p w14:paraId="33332665" w14:textId="77777777" w:rsidR="000E0AE3" w:rsidRDefault="000E0AE3" w:rsidP="00104B19">
      <w:pPr>
        <w:spacing w:after="0" w:line="300" w:lineRule="auto"/>
        <w:jc w:val="both"/>
        <w:rPr>
          <w:rFonts w:ascii="Arial" w:eastAsia="Times New Roman" w:hAnsi="Arial" w:cs="Arial"/>
          <w:lang w:eastAsia="pl-PL"/>
        </w:rPr>
      </w:pPr>
      <w:r w:rsidRPr="000E0AE3">
        <w:rPr>
          <w:rFonts w:ascii="Arial" w:eastAsia="Times New Roman" w:hAnsi="Arial" w:cs="Arial"/>
          <w:lang w:eastAsia="pl-PL"/>
        </w:rPr>
        <w:t xml:space="preserve">Celem regulacji jest również usprawnienie komunikacji pomiędzy PFR a podmiotami zatrudniającymi, ograniczenie kosztów obsługi korespondencji oraz dalsze wsparcie cyfryzacji administracji publicznej.  </w:t>
      </w:r>
    </w:p>
    <w:p w14:paraId="6A38889B" w14:textId="77777777" w:rsidR="000E0AE3" w:rsidRDefault="000E0AE3" w:rsidP="00104B19">
      <w:pPr>
        <w:spacing w:after="0" w:line="300" w:lineRule="auto"/>
        <w:jc w:val="both"/>
        <w:rPr>
          <w:rFonts w:ascii="Arial" w:eastAsia="Times New Roman" w:hAnsi="Arial" w:cs="Arial"/>
          <w:lang w:eastAsia="pl-PL"/>
        </w:rPr>
      </w:pPr>
      <w:r w:rsidRPr="000E0AE3">
        <w:rPr>
          <w:rFonts w:ascii="Arial" w:eastAsia="Times New Roman" w:hAnsi="Arial" w:cs="Arial"/>
          <w:lang w:eastAsia="pl-PL"/>
        </w:rPr>
        <w:t>Ustawa ma charakter techniczno-organizacyjny i nie zmienia samej istoty obowiązków ciążących na podmiotach zatrudniających w zakresie zawierania umów o zarządzanie PPK.</w:t>
      </w:r>
    </w:p>
    <w:p w14:paraId="6E2421A3" w14:textId="77777777" w:rsidR="000E0AE3" w:rsidRDefault="000E0AE3" w:rsidP="00104B19">
      <w:pPr>
        <w:spacing w:after="0" w:line="300" w:lineRule="auto"/>
        <w:jc w:val="both"/>
        <w:rPr>
          <w:rFonts w:ascii="Arial" w:eastAsia="Times New Roman" w:hAnsi="Arial" w:cs="Arial"/>
          <w:lang w:eastAsia="pl-PL"/>
        </w:rPr>
      </w:pPr>
    </w:p>
    <w:p w14:paraId="65909B3C" w14:textId="7B2B5702" w:rsidR="00104B19" w:rsidRDefault="000E0AE3" w:rsidP="00104B19">
      <w:pPr>
        <w:spacing w:after="0" w:line="300" w:lineRule="auto"/>
        <w:jc w:val="both"/>
        <w:rPr>
          <w:rStyle w:val="markedcontent"/>
          <w:rFonts w:ascii="Arial" w:hAnsi="Arial" w:cs="Arial"/>
        </w:rPr>
      </w:pPr>
      <w:r w:rsidRPr="000E0AE3">
        <w:rPr>
          <w:rFonts w:ascii="Arial" w:eastAsia="Times New Roman" w:hAnsi="Arial" w:cs="Arial"/>
          <w:lang w:eastAsia="pl-PL"/>
        </w:rPr>
        <w:t>Ustawa wejdzie w życie po upływie 14 dni od dnia ogłoszenia.</w:t>
      </w:r>
    </w:p>
    <w:sectPr w:rsidR="00104B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005F1"/>
    <w:multiLevelType w:val="hybridMultilevel"/>
    <w:tmpl w:val="6F92AF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E64FCE"/>
    <w:multiLevelType w:val="hybridMultilevel"/>
    <w:tmpl w:val="ABB0EF4E"/>
    <w:lvl w:ilvl="0" w:tplc="7CDEB8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D2022F"/>
    <w:multiLevelType w:val="hybridMultilevel"/>
    <w:tmpl w:val="CA049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0E4088E"/>
    <w:multiLevelType w:val="hybridMultilevel"/>
    <w:tmpl w:val="CAF21E52"/>
    <w:lvl w:ilvl="0" w:tplc="43D8372A">
      <w:start w:val="1"/>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823089"/>
    <w:multiLevelType w:val="hybridMultilevel"/>
    <w:tmpl w:val="689819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980FD5"/>
    <w:multiLevelType w:val="hybridMultilevel"/>
    <w:tmpl w:val="52A4B3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ED00C6"/>
    <w:multiLevelType w:val="hybridMultilevel"/>
    <w:tmpl w:val="82C2C7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2831A42"/>
    <w:multiLevelType w:val="hybridMultilevel"/>
    <w:tmpl w:val="27C625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9027726">
    <w:abstractNumId w:val="1"/>
  </w:num>
  <w:num w:numId="2" w16cid:durableId="3118319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761560">
    <w:abstractNumId w:val="0"/>
  </w:num>
  <w:num w:numId="4" w16cid:durableId="5788216">
    <w:abstractNumId w:val="5"/>
  </w:num>
  <w:num w:numId="5" w16cid:durableId="1820147117">
    <w:abstractNumId w:val="3"/>
  </w:num>
  <w:num w:numId="6" w16cid:durableId="1927491118">
    <w:abstractNumId w:val="4"/>
  </w:num>
  <w:num w:numId="7" w16cid:durableId="1671328130">
    <w:abstractNumId w:val="7"/>
  </w:num>
  <w:num w:numId="8" w16cid:durableId="1660305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26"/>
    <w:rsid w:val="0000729D"/>
    <w:rsid w:val="000E0AE3"/>
    <w:rsid w:val="00104B19"/>
    <w:rsid w:val="00122926"/>
    <w:rsid w:val="00171106"/>
    <w:rsid w:val="004A1816"/>
    <w:rsid w:val="00580328"/>
    <w:rsid w:val="006E4AB4"/>
    <w:rsid w:val="007931BE"/>
    <w:rsid w:val="00833E77"/>
    <w:rsid w:val="0093222F"/>
    <w:rsid w:val="00981736"/>
    <w:rsid w:val="00B045C3"/>
    <w:rsid w:val="00C1558B"/>
    <w:rsid w:val="00E6087C"/>
    <w:rsid w:val="00E67DF7"/>
    <w:rsid w:val="00F37E1B"/>
    <w:rsid w:val="00F86B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D2B9"/>
  <w15:chartTrackingRefBased/>
  <w15:docId w15:val="{05FAB91D-BE65-4FA7-BBBE-D88D5E2EC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926"/>
    <w:pPr>
      <w:spacing w:after="200" w:line="276" w:lineRule="auto"/>
    </w:pPr>
    <w:rPr>
      <w:kern w:val="0"/>
      <w14:ligatures w14:val="none"/>
    </w:rPr>
  </w:style>
  <w:style w:type="paragraph" w:styleId="Nagwek1">
    <w:name w:val="heading 1"/>
    <w:basedOn w:val="Normalny"/>
    <w:next w:val="Normalny"/>
    <w:link w:val="Nagwek1Znak"/>
    <w:uiPriority w:val="9"/>
    <w:qFormat/>
    <w:rsid w:val="00122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22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2292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2292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2292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2292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2292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2292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2292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2292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2292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2292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2292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2292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2292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2292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2292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22926"/>
    <w:rPr>
      <w:rFonts w:eastAsiaTheme="majorEastAsia" w:cstheme="majorBidi"/>
      <w:color w:val="272727" w:themeColor="text1" w:themeTint="D8"/>
    </w:rPr>
  </w:style>
  <w:style w:type="paragraph" w:styleId="Tytu">
    <w:name w:val="Title"/>
    <w:basedOn w:val="Normalny"/>
    <w:next w:val="Normalny"/>
    <w:link w:val="TytuZnak"/>
    <w:uiPriority w:val="10"/>
    <w:qFormat/>
    <w:rsid w:val="00122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2292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2292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2292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22926"/>
    <w:pPr>
      <w:spacing w:before="160"/>
      <w:jc w:val="center"/>
    </w:pPr>
    <w:rPr>
      <w:i/>
      <w:iCs/>
      <w:color w:val="404040" w:themeColor="text1" w:themeTint="BF"/>
    </w:rPr>
  </w:style>
  <w:style w:type="character" w:customStyle="1" w:styleId="CytatZnak">
    <w:name w:val="Cytat Znak"/>
    <w:basedOn w:val="Domylnaczcionkaakapitu"/>
    <w:link w:val="Cytat"/>
    <w:uiPriority w:val="29"/>
    <w:rsid w:val="00122926"/>
    <w:rPr>
      <w:i/>
      <w:iCs/>
      <w:color w:val="404040" w:themeColor="text1" w:themeTint="BF"/>
    </w:rPr>
  </w:style>
  <w:style w:type="paragraph" w:styleId="Akapitzlist">
    <w:name w:val="List Paragraph"/>
    <w:basedOn w:val="Normalny"/>
    <w:uiPriority w:val="34"/>
    <w:qFormat/>
    <w:rsid w:val="00122926"/>
    <w:pPr>
      <w:ind w:left="720"/>
      <w:contextualSpacing/>
    </w:pPr>
  </w:style>
  <w:style w:type="character" w:styleId="Wyrnienieintensywne">
    <w:name w:val="Intense Emphasis"/>
    <w:basedOn w:val="Domylnaczcionkaakapitu"/>
    <w:uiPriority w:val="21"/>
    <w:qFormat/>
    <w:rsid w:val="00122926"/>
    <w:rPr>
      <w:i/>
      <w:iCs/>
      <w:color w:val="0F4761" w:themeColor="accent1" w:themeShade="BF"/>
    </w:rPr>
  </w:style>
  <w:style w:type="paragraph" w:styleId="Cytatintensywny">
    <w:name w:val="Intense Quote"/>
    <w:basedOn w:val="Normalny"/>
    <w:next w:val="Normalny"/>
    <w:link w:val="CytatintensywnyZnak"/>
    <w:uiPriority w:val="30"/>
    <w:qFormat/>
    <w:rsid w:val="00122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22926"/>
    <w:rPr>
      <w:i/>
      <w:iCs/>
      <w:color w:val="0F4761" w:themeColor="accent1" w:themeShade="BF"/>
    </w:rPr>
  </w:style>
  <w:style w:type="character" w:styleId="Odwoanieintensywne">
    <w:name w:val="Intense Reference"/>
    <w:basedOn w:val="Domylnaczcionkaakapitu"/>
    <w:uiPriority w:val="32"/>
    <w:qFormat/>
    <w:rsid w:val="00122926"/>
    <w:rPr>
      <w:b/>
      <w:bCs/>
      <w:smallCaps/>
      <w:color w:val="0F4761" w:themeColor="accent1" w:themeShade="BF"/>
      <w:spacing w:val="5"/>
    </w:rPr>
  </w:style>
  <w:style w:type="character" w:customStyle="1" w:styleId="markedcontent">
    <w:name w:val="markedcontent"/>
    <w:basedOn w:val="Domylnaczcionkaakapitu"/>
    <w:rsid w:val="00122926"/>
  </w:style>
  <w:style w:type="character" w:styleId="Hipercze">
    <w:name w:val="Hyperlink"/>
    <w:basedOn w:val="Domylnaczcionkaakapitu"/>
    <w:uiPriority w:val="99"/>
    <w:unhideWhenUsed/>
    <w:rsid w:val="004A1816"/>
    <w:rPr>
      <w:color w:val="467886" w:themeColor="hyperlink"/>
      <w:u w:val="single"/>
    </w:rPr>
  </w:style>
  <w:style w:type="character" w:styleId="Nierozpoznanawzmianka">
    <w:name w:val="Unresolved Mention"/>
    <w:basedOn w:val="Domylnaczcionkaakapitu"/>
    <w:uiPriority w:val="99"/>
    <w:semiHidden/>
    <w:unhideWhenUsed/>
    <w:rsid w:val="004A1816"/>
    <w:rPr>
      <w:color w:val="605E5C"/>
      <w:shd w:val="clear" w:color="auto" w:fill="E1DFDD"/>
    </w:rPr>
  </w:style>
  <w:style w:type="character" w:styleId="UyteHipercze">
    <w:name w:val="FollowedHyperlink"/>
    <w:basedOn w:val="Domylnaczcionkaakapitu"/>
    <w:uiPriority w:val="99"/>
    <w:semiHidden/>
    <w:unhideWhenUsed/>
    <w:rsid w:val="004A18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ja.rcl.gov.pl/projekt/12412602/katalog/13216310" TargetMode="External"/><Relationship Id="rId3" Type="http://schemas.openxmlformats.org/officeDocument/2006/relationships/settings" Target="settings.xml"/><Relationship Id="rId7" Type="http://schemas.openxmlformats.org/officeDocument/2006/relationships/hyperlink" Target="https://legislacja.rcl.gov.pl/projekt/12412556/katalog/13216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cja.rcl.gov.pl/projekt/12412351/katalog/13214816"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islacja.rcl.gov.pl/projekt/12412755/katalog/1321745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12</Pages>
  <Words>5145</Words>
  <Characters>30870</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Kuydowicz</dc:creator>
  <cp:keywords/>
  <dc:description/>
  <cp:lastModifiedBy>Tomasz Kuydowicz</cp:lastModifiedBy>
  <cp:revision>13</cp:revision>
  <dcterms:created xsi:type="dcterms:W3CDTF">2026-07-29T10:44:00Z</dcterms:created>
  <dcterms:modified xsi:type="dcterms:W3CDTF">2026-08-04T07:54:00Z</dcterms:modified>
</cp:coreProperties>
</file>