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7E148" w14:textId="77777777" w:rsidR="00E11A53" w:rsidRPr="00586923" w:rsidRDefault="00E11A53" w:rsidP="00E11A53">
      <w:pPr>
        <w:rPr>
          <w:rFonts w:ascii="Arial" w:hAnsi="Arial" w:cs="Arial"/>
        </w:rPr>
      </w:pPr>
      <w:r w:rsidRPr="00586923">
        <w:rPr>
          <w:rFonts w:ascii="Arial" w:hAnsi="Arial" w:cs="Arial"/>
          <w:noProof/>
          <w:lang w:eastAsia="pl-PL"/>
        </w:rPr>
        <w:drawing>
          <wp:inline distT="0" distB="0" distL="0" distR="0" wp14:anchorId="2C86FDA7" wp14:editId="7A484AF0">
            <wp:extent cx="5683910" cy="943559"/>
            <wp:effectExtent l="0" t="0" r="0" b="9525"/>
            <wp:docPr id="2" name="Obraz 2" descr="Obraz zawierający tekst, Czcionka, zrzut ekranu, log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zcionka, zrzut ekranu, logo&#10;&#10;Zawartość wygenerowana przez AI może być niepoprawna."/>
                    <pic:cNvPicPr/>
                  </pic:nvPicPr>
                  <pic:blipFill>
                    <a:blip r:embed="rId5">
                      <a:extLst>
                        <a:ext uri="{28A0092B-C50C-407E-A947-70E740481C1C}">
                          <a14:useLocalDpi xmlns:a14="http://schemas.microsoft.com/office/drawing/2010/main" val="0"/>
                        </a:ext>
                      </a:extLst>
                    </a:blip>
                    <a:stretch>
                      <a:fillRect/>
                    </a:stretch>
                  </pic:blipFill>
                  <pic:spPr>
                    <a:xfrm>
                      <a:off x="0" y="0"/>
                      <a:ext cx="5704187" cy="946925"/>
                    </a:xfrm>
                    <a:prstGeom prst="rect">
                      <a:avLst/>
                    </a:prstGeom>
                  </pic:spPr>
                </pic:pic>
              </a:graphicData>
            </a:graphic>
          </wp:inline>
        </w:drawing>
      </w:r>
    </w:p>
    <w:p w14:paraId="24AA8078" w14:textId="77777777" w:rsidR="00E11A53" w:rsidRDefault="00E11A53" w:rsidP="00E11A53">
      <w:pPr>
        <w:spacing w:after="0" w:line="300" w:lineRule="auto"/>
        <w:jc w:val="center"/>
        <w:rPr>
          <w:rFonts w:ascii="Arial" w:hAnsi="Arial" w:cs="Arial"/>
          <w:b/>
        </w:rPr>
      </w:pPr>
      <w:r w:rsidRPr="00586923">
        <w:rPr>
          <w:rFonts w:ascii="Arial" w:hAnsi="Arial" w:cs="Arial"/>
          <w:b/>
        </w:rPr>
        <w:t xml:space="preserve">Konsultacje </w:t>
      </w:r>
      <w:r>
        <w:rPr>
          <w:rFonts w:ascii="Arial" w:hAnsi="Arial" w:cs="Arial"/>
          <w:b/>
        </w:rPr>
        <w:t>projektów</w:t>
      </w:r>
      <w:r w:rsidRPr="00586923">
        <w:rPr>
          <w:rFonts w:ascii="Arial" w:hAnsi="Arial" w:cs="Arial"/>
          <w:b/>
        </w:rPr>
        <w:t xml:space="preserve"> krajowych aktów prawnych </w:t>
      </w:r>
      <w:r>
        <w:rPr>
          <w:rFonts w:ascii="Arial" w:hAnsi="Arial" w:cs="Arial"/>
          <w:b/>
        </w:rPr>
        <w:t xml:space="preserve">i ogłoszone akty prawne </w:t>
      </w:r>
      <w:r>
        <w:rPr>
          <w:rFonts w:ascii="Arial" w:hAnsi="Arial" w:cs="Arial"/>
          <w:b/>
        </w:rPr>
        <w:br/>
        <w:t>w Dzienniku Ustaw</w:t>
      </w:r>
    </w:p>
    <w:p w14:paraId="3C0F3211" w14:textId="77777777" w:rsidR="00E11A53" w:rsidRPr="00586923" w:rsidRDefault="00E11A53" w:rsidP="00E11A53">
      <w:pPr>
        <w:spacing w:after="0" w:line="300" w:lineRule="auto"/>
        <w:jc w:val="center"/>
        <w:rPr>
          <w:rFonts w:ascii="Arial" w:hAnsi="Arial" w:cs="Arial"/>
          <w:b/>
        </w:rPr>
      </w:pPr>
      <w:r>
        <w:rPr>
          <w:rFonts w:ascii="Arial" w:hAnsi="Arial" w:cs="Arial"/>
          <w:b/>
        </w:rPr>
        <w:t>(</w:t>
      </w:r>
      <w:r w:rsidRPr="00586923">
        <w:rPr>
          <w:rFonts w:ascii="Arial" w:hAnsi="Arial" w:cs="Arial"/>
          <w:b/>
        </w:rPr>
        <w:t xml:space="preserve">monitoring legislacji </w:t>
      </w:r>
      <w:r>
        <w:rPr>
          <w:rFonts w:ascii="Arial" w:hAnsi="Arial" w:cs="Arial"/>
          <w:b/>
        </w:rPr>
        <w:t xml:space="preserve">krajowej </w:t>
      </w:r>
      <w:r w:rsidRPr="00586923">
        <w:rPr>
          <w:rFonts w:ascii="Arial" w:hAnsi="Arial" w:cs="Arial"/>
          <w:b/>
        </w:rPr>
        <w:t>ZPPM</w:t>
      </w:r>
      <w:r>
        <w:rPr>
          <w:rFonts w:ascii="Arial" w:hAnsi="Arial" w:cs="Arial"/>
          <w:b/>
        </w:rPr>
        <w:t>)</w:t>
      </w:r>
    </w:p>
    <w:p w14:paraId="2E00920A" w14:textId="58D4F7BF" w:rsidR="00E11A53" w:rsidRPr="00586923" w:rsidRDefault="00E11A53" w:rsidP="00E11A53">
      <w:pPr>
        <w:spacing w:after="0" w:line="300" w:lineRule="auto"/>
        <w:jc w:val="center"/>
        <w:rPr>
          <w:rFonts w:ascii="Arial" w:hAnsi="Arial" w:cs="Arial"/>
        </w:rPr>
      </w:pPr>
      <w:r w:rsidRPr="00586923">
        <w:rPr>
          <w:rFonts w:ascii="Arial" w:hAnsi="Arial" w:cs="Arial"/>
          <w:b/>
        </w:rPr>
        <w:t xml:space="preserve">w okresie od </w:t>
      </w:r>
      <w:r>
        <w:rPr>
          <w:rFonts w:ascii="Arial" w:hAnsi="Arial" w:cs="Arial"/>
          <w:b/>
        </w:rPr>
        <w:t>10</w:t>
      </w:r>
      <w:r>
        <w:rPr>
          <w:rFonts w:ascii="Arial" w:hAnsi="Arial" w:cs="Arial"/>
          <w:b/>
        </w:rPr>
        <w:t xml:space="preserve"> </w:t>
      </w:r>
      <w:r w:rsidRPr="00586923">
        <w:rPr>
          <w:rFonts w:ascii="Arial" w:hAnsi="Arial" w:cs="Arial"/>
          <w:b/>
        </w:rPr>
        <w:t xml:space="preserve">do </w:t>
      </w:r>
      <w:r>
        <w:rPr>
          <w:rFonts w:ascii="Arial" w:hAnsi="Arial" w:cs="Arial"/>
          <w:b/>
        </w:rPr>
        <w:t>23 sierpnia</w:t>
      </w:r>
      <w:r w:rsidRPr="00586923">
        <w:rPr>
          <w:rFonts w:ascii="Arial" w:hAnsi="Arial" w:cs="Arial"/>
          <w:b/>
        </w:rPr>
        <w:t xml:space="preserve"> 202</w:t>
      </w:r>
      <w:r>
        <w:rPr>
          <w:rFonts w:ascii="Arial" w:hAnsi="Arial" w:cs="Arial"/>
          <w:b/>
        </w:rPr>
        <w:t>6</w:t>
      </w:r>
      <w:r w:rsidRPr="00586923">
        <w:rPr>
          <w:rFonts w:ascii="Arial" w:hAnsi="Arial" w:cs="Arial"/>
          <w:b/>
        </w:rPr>
        <w:t xml:space="preserve"> roku</w:t>
      </w:r>
    </w:p>
    <w:p w14:paraId="66EF57A2" w14:textId="48DD1044" w:rsidR="00E11A53" w:rsidRPr="00AC3187" w:rsidRDefault="00E11A53" w:rsidP="00E11A53">
      <w:pPr>
        <w:spacing w:after="0" w:line="300" w:lineRule="auto"/>
        <w:jc w:val="center"/>
        <w:rPr>
          <w:rFonts w:ascii="Arial" w:hAnsi="Arial" w:cs="Arial"/>
        </w:rPr>
      </w:pPr>
      <w:r w:rsidRPr="00AC3187">
        <w:rPr>
          <w:rFonts w:ascii="Arial" w:hAnsi="Arial" w:cs="Arial"/>
        </w:rPr>
        <w:t xml:space="preserve">Raport na dzień </w:t>
      </w:r>
      <w:r>
        <w:rPr>
          <w:rFonts w:ascii="Arial" w:hAnsi="Arial" w:cs="Arial"/>
        </w:rPr>
        <w:t>27 sierpnia</w:t>
      </w:r>
      <w:r w:rsidRPr="00AC3187">
        <w:rPr>
          <w:rFonts w:ascii="Arial" w:hAnsi="Arial" w:cs="Arial"/>
        </w:rPr>
        <w:t xml:space="preserve"> 202</w:t>
      </w:r>
      <w:r>
        <w:rPr>
          <w:rFonts w:ascii="Arial" w:hAnsi="Arial" w:cs="Arial"/>
        </w:rPr>
        <w:t>6</w:t>
      </w:r>
      <w:r w:rsidRPr="00AC3187">
        <w:rPr>
          <w:rFonts w:ascii="Arial" w:hAnsi="Arial" w:cs="Arial"/>
        </w:rPr>
        <w:t xml:space="preserve"> roku</w:t>
      </w:r>
    </w:p>
    <w:p w14:paraId="0701BF11" w14:textId="77777777" w:rsidR="00E11A53" w:rsidRPr="00586923" w:rsidRDefault="00E11A53" w:rsidP="00E11A53">
      <w:pPr>
        <w:spacing w:after="0" w:line="240" w:lineRule="auto"/>
        <w:jc w:val="both"/>
        <w:rPr>
          <w:rFonts w:ascii="Arial" w:hAnsi="Arial" w:cs="Arial"/>
        </w:rPr>
      </w:pPr>
    </w:p>
    <w:p w14:paraId="690BA127" w14:textId="77777777" w:rsidR="00E11A53" w:rsidRPr="000B65D1" w:rsidRDefault="00E11A53" w:rsidP="00E11A53">
      <w:pPr>
        <w:pStyle w:val="Akapitzlist"/>
        <w:numPr>
          <w:ilvl w:val="0"/>
          <w:numId w:val="1"/>
        </w:numPr>
        <w:spacing w:after="0" w:line="300" w:lineRule="auto"/>
        <w:ind w:left="284" w:hanging="284"/>
        <w:jc w:val="both"/>
        <w:rPr>
          <w:rFonts w:ascii="Arial" w:hAnsi="Arial" w:cs="Arial"/>
          <w:b/>
        </w:rPr>
      </w:pPr>
      <w:r w:rsidRPr="000B65D1">
        <w:rPr>
          <w:rFonts w:ascii="Arial" w:hAnsi="Arial" w:cs="Arial"/>
          <w:b/>
        </w:rPr>
        <w:t>Projekty aktów prawnych</w:t>
      </w:r>
    </w:p>
    <w:p w14:paraId="7E3234EC" w14:textId="77777777" w:rsidR="00E11A53" w:rsidRDefault="00E11A53" w:rsidP="00E11A53">
      <w:pPr>
        <w:spacing w:after="0" w:line="300" w:lineRule="auto"/>
        <w:jc w:val="both"/>
        <w:rPr>
          <w:rFonts w:ascii="Arial" w:hAnsi="Arial" w:cs="Arial"/>
        </w:rPr>
      </w:pPr>
    </w:p>
    <w:p w14:paraId="6725472E" w14:textId="13F57D96" w:rsidR="00E11A53" w:rsidRPr="00C70674" w:rsidRDefault="00E11A53" w:rsidP="00E11A53">
      <w:pPr>
        <w:spacing w:after="0" w:line="300" w:lineRule="auto"/>
        <w:jc w:val="both"/>
        <w:rPr>
          <w:rFonts w:ascii="Arial" w:hAnsi="Arial" w:cs="Arial"/>
        </w:rPr>
      </w:pPr>
      <w:r w:rsidRPr="00C70674">
        <w:rPr>
          <w:rFonts w:ascii="Arial" w:hAnsi="Arial" w:cs="Arial"/>
        </w:rPr>
        <w:t xml:space="preserve">W omawianym okresie </w:t>
      </w:r>
      <w:r w:rsidRPr="00C70674">
        <w:rPr>
          <w:rFonts w:ascii="Arial" w:eastAsia="Calibri" w:hAnsi="Arial" w:cs="Arial"/>
          <w:bCs/>
        </w:rPr>
        <w:t xml:space="preserve">Rządowe Centrum Legislacji opublikowało </w:t>
      </w:r>
      <w:r w:rsidR="00457379">
        <w:rPr>
          <w:rFonts w:ascii="Arial" w:eastAsia="Calibri" w:hAnsi="Arial" w:cs="Arial"/>
          <w:bCs/>
        </w:rPr>
        <w:t>10</w:t>
      </w:r>
      <w:r w:rsidRPr="00C70674">
        <w:rPr>
          <w:rFonts w:ascii="Arial" w:eastAsia="Calibri" w:hAnsi="Arial" w:cs="Arial"/>
          <w:bCs/>
        </w:rPr>
        <w:t xml:space="preserve"> projekt</w:t>
      </w:r>
      <w:r w:rsidR="00457379">
        <w:rPr>
          <w:rFonts w:ascii="Arial" w:eastAsia="Calibri" w:hAnsi="Arial" w:cs="Arial"/>
          <w:bCs/>
        </w:rPr>
        <w:t>ów</w:t>
      </w:r>
      <w:r>
        <w:rPr>
          <w:rFonts w:ascii="Arial" w:eastAsia="Calibri" w:hAnsi="Arial" w:cs="Arial"/>
          <w:bCs/>
        </w:rPr>
        <w:t xml:space="preserve"> ustaw</w:t>
      </w:r>
      <w:r w:rsidRPr="00C70674">
        <w:rPr>
          <w:rFonts w:ascii="Arial" w:eastAsia="Calibri" w:hAnsi="Arial" w:cs="Arial"/>
          <w:bCs/>
        </w:rPr>
        <w:t xml:space="preserve"> oraz</w:t>
      </w:r>
      <w:r w:rsidRPr="00C70674">
        <w:rPr>
          <w:rFonts w:ascii="Arial" w:hAnsi="Arial" w:cs="Arial"/>
        </w:rPr>
        <w:t xml:space="preserve"> </w:t>
      </w:r>
      <w:r w:rsidR="00457379">
        <w:rPr>
          <w:rFonts w:ascii="Arial" w:hAnsi="Arial" w:cs="Arial"/>
        </w:rPr>
        <w:t>36</w:t>
      </w:r>
      <w:r w:rsidRPr="00C70674">
        <w:rPr>
          <w:rFonts w:ascii="Arial" w:hAnsi="Arial" w:cs="Arial"/>
        </w:rPr>
        <w:t xml:space="preserve"> projekt</w:t>
      </w:r>
      <w:r w:rsidR="00457379">
        <w:rPr>
          <w:rFonts w:ascii="Arial" w:hAnsi="Arial" w:cs="Arial"/>
        </w:rPr>
        <w:t>ów</w:t>
      </w:r>
      <w:r w:rsidRPr="00C70674">
        <w:rPr>
          <w:rFonts w:ascii="Arial" w:hAnsi="Arial" w:cs="Arial"/>
        </w:rPr>
        <w:t xml:space="preserve"> rozporządzeń Rady Ministrów, Prezesa Rady Ministrów oraz poszczególnych Ministrów.</w:t>
      </w:r>
    </w:p>
    <w:p w14:paraId="1C289CE2" w14:textId="77777777" w:rsidR="00E11A53" w:rsidRPr="00C70674" w:rsidRDefault="00E11A53" w:rsidP="00E11A53">
      <w:pPr>
        <w:spacing w:after="0" w:line="300" w:lineRule="auto"/>
        <w:jc w:val="both"/>
        <w:rPr>
          <w:rFonts w:ascii="Arial" w:hAnsi="Arial" w:cs="Arial"/>
        </w:rPr>
      </w:pPr>
    </w:p>
    <w:p w14:paraId="5D175687" w14:textId="044EA388" w:rsidR="00E11A53" w:rsidRDefault="00E11A53" w:rsidP="00E11A53">
      <w:pPr>
        <w:spacing w:after="0" w:line="300" w:lineRule="auto"/>
        <w:jc w:val="both"/>
        <w:rPr>
          <w:rFonts w:ascii="Arial" w:hAnsi="Arial" w:cs="Arial"/>
        </w:rPr>
      </w:pPr>
      <w:r>
        <w:rPr>
          <w:rFonts w:ascii="Arial" w:hAnsi="Arial" w:cs="Arial"/>
        </w:rPr>
        <w:t xml:space="preserve">Przeprowadzono konsultacje </w:t>
      </w:r>
      <w:r w:rsidR="00836FE5">
        <w:rPr>
          <w:rFonts w:ascii="Arial" w:hAnsi="Arial" w:cs="Arial"/>
        </w:rPr>
        <w:t>3</w:t>
      </w:r>
      <w:r>
        <w:rPr>
          <w:rFonts w:ascii="Arial" w:hAnsi="Arial" w:cs="Arial"/>
        </w:rPr>
        <w:t xml:space="preserve"> projekt</w:t>
      </w:r>
      <w:r w:rsidR="00457379">
        <w:rPr>
          <w:rFonts w:ascii="Arial" w:hAnsi="Arial" w:cs="Arial"/>
        </w:rPr>
        <w:t>ów</w:t>
      </w:r>
      <w:r>
        <w:rPr>
          <w:rFonts w:ascii="Arial" w:hAnsi="Arial" w:cs="Arial"/>
        </w:rPr>
        <w:t xml:space="preserve"> ustaw i </w:t>
      </w:r>
      <w:r w:rsidR="00836FE5">
        <w:rPr>
          <w:rFonts w:ascii="Arial" w:hAnsi="Arial" w:cs="Arial"/>
        </w:rPr>
        <w:t>5</w:t>
      </w:r>
      <w:r>
        <w:rPr>
          <w:rFonts w:ascii="Arial" w:hAnsi="Arial" w:cs="Arial"/>
        </w:rPr>
        <w:t xml:space="preserve"> projekt</w:t>
      </w:r>
      <w:r w:rsidR="00457379">
        <w:rPr>
          <w:rFonts w:ascii="Arial" w:hAnsi="Arial" w:cs="Arial"/>
        </w:rPr>
        <w:t>ów</w:t>
      </w:r>
      <w:r>
        <w:rPr>
          <w:rFonts w:ascii="Arial" w:hAnsi="Arial" w:cs="Arial"/>
        </w:rPr>
        <w:t xml:space="preserve"> rozporządzeń dotyczących podmiotów członkowskich (pracodawcy, przedsiębiorcy, JST) zrzeszonych w Związku. </w:t>
      </w:r>
    </w:p>
    <w:p w14:paraId="635F5D5F" w14:textId="77777777" w:rsidR="00E11A53" w:rsidRDefault="00E11A53" w:rsidP="00E11A53">
      <w:pPr>
        <w:spacing w:after="0" w:line="300" w:lineRule="auto"/>
        <w:jc w:val="both"/>
        <w:rPr>
          <w:rFonts w:ascii="Arial" w:hAnsi="Arial" w:cs="Arial"/>
        </w:rPr>
      </w:pPr>
      <w:r>
        <w:rPr>
          <w:rFonts w:ascii="Arial" w:hAnsi="Arial" w:cs="Arial"/>
        </w:rPr>
        <w:t>Do konsultacji przekazane zostały następujące projekty:</w:t>
      </w:r>
    </w:p>
    <w:p w14:paraId="5C8DE7AB" w14:textId="77777777" w:rsidR="00E11A53" w:rsidRDefault="00E11A53" w:rsidP="00E11A53">
      <w:pPr>
        <w:spacing w:after="0" w:line="300" w:lineRule="auto"/>
        <w:jc w:val="both"/>
        <w:rPr>
          <w:rFonts w:ascii="Arial" w:hAnsi="Arial" w:cs="Arial"/>
        </w:rPr>
      </w:pPr>
    </w:p>
    <w:p w14:paraId="4AFD6303" w14:textId="77777777" w:rsidR="00E11A53" w:rsidRDefault="00E11A53" w:rsidP="00E11A53">
      <w:pPr>
        <w:spacing w:after="0" w:line="300" w:lineRule="auto"/>
        <w:jc w:val="both"/>
        <w:rPr>
          <w:rFonts w:ascii="Arial" w:hAnsi="Arial" w:cs="Arial"/>
        </w:rPr>
      </w:pPr>
      <w:r>
        <w:rPr>
          <w:rFonts w:ascii="Arial" w:hAnsi="Arial" w:cs="Arial"/>
        </w:rPr>
        <w:t>Projekty ustaw:</w:t>
      </w:r>
    </w:p>
    <w:p w14:paraId="5BCB4FE0" w14:textId="77777777" w:rsidR="00D766E4" w:rsidRDefault="00D766E4" w:rsidP="00E11A53">
      <w:pPr>
        <w:spacing w:after="0" w:line="300" w:lineRule="auto"/>
        <w:jc w:val="both"/>
        <w:rPr>
          <w:rFonts w:ascii="Arial" w:hAnsi="Arial" w:cs="Arial"/>
        </w:rPr>
      </w:pPr>
    </w:p>
    <w:p w14:paraId="7D602349" w14:textId="423EAE49" w:rsidR="00D766E4" w:rsidRPr="00D766E4" w:rsidRDefault="00D766E4" w:rsidP="00E11A53">
      <w:pPr>
        <w:pStyle w:val="Akapitzlist"/>
        <w:numPr>
          <w:ilvl w:val="0"/>
          <w:numId w:val="3"/>
        </w:numPr>
        <w:spacing w:after="0" w:line="300" w:lineRule="auto"/>
        <w:jc w:val="both"/>
        <w:rPr>
          <w:rFonts w:ascii="Arial" w:hAnsi="Arial" w:cs="Arial"/>
          <w:b/>
          <w:bCs/>
          <w:u w:val="single"/>
        </w:rPr>
      </w:pPr>
      <w:r w:rsidRPr="00D766E4">
        <w:rPr>
          <w:rFonts w:ascii="Arial" w:hAnsi="Arial" w:cs="Arial"/>
          <w:b/>
          <w:bCs/>
          <w:u w:val="single"/>
        </w:rPr>
        <w:t>P</w:t>
      </w:r>
      <w:r w:rsidRPr="00D766E4">
        <w:rPr>
          <w:rFonts w:ascii="Arial" w:hAnsi="Arial" w:cs="Arial"/>
          <w:b/>
          <w:bCs/>
          <w:u w:val="single"/>
        </w:rPr>
        <w:t>rojekt ustawy o krajowych ramach budowania odporności rynku wewnętrznego oraz reagowania na kryzys na rynku wewnętrznym (UC157).</w:t>
      </w:r>
    </w:p>
    <w:p w14:paraId="0646478C" w14:textId="77777777" w:rsidR="00D766E4" w:rsidRPr="00D766E4" w:rsidRDefault="00D766E4" w:rsidP="00D766E4">
      <w:pPr>
        <w:spacing w:after="0" w:line="300" w:lineRule="auto"/>
        <w:jc w:val="both"/>
        <w:rPr>
          <w:rFonts w:ascii="Arial" w:hAnsi="Arial" w:cs="Arial"/>
        </w:rPr>
      </w:pPr>
    </w:p>
    <w:p w14:paraId="3C5B79AA" w14:textId="77777777" w:rsidR="00D766E4" w:rsidRPr="00D766E4" w:rsidRDefault="00D766E4" w:rsidP="00D766E4">
      <w:pPr>
        <w:spacing w:after="0" w:line="300" w:lineRule="auto"/>
        <w:jc w:val="both"/>
        <w:rPr>
          <w:rFonts w:ascii="Arial" w:hAnsi="Arial" w:cs="Arial"/>
        </w:rPr>
      </w:pPr>
      <w:r w:rsidRPr="00D766E4">
        <w:rPr>
          <w:rFonts w:ascii="Arial" w:hAnsi="Arial" w:cs="Arial"/>
        </w:rPr>
        <w:t>Zapewnienie stosowania rozporządzenia IMERA w ramach pakietu IMERA</w:t>
      </w:r>
    </w:p>
    <w:p w14:paraId="1C5737AA"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Projektowana ustawa służy stosowaniu rozporządzenia Parlamentu Europejskiego i Rady (UE) 2024/2747 z dnia 9 października 2024 r. w sprawie ustanowienia ram środków dotyczących sytuacji nadzwyczajnej na rynku wewnętrznym i odporności rynku wewnętrznego oraz w sprawie zmiany rozporządzenia Rady (WE) nr 2679/98 (akt o sytuacji nadzwyczajnej na rynku wewnętrznym i odporności rynku wewnętrznego) (dalej „rozporządzenie IMERA”), a także w stosownym zakresie implementacji oraz stosowaniu towarzyszących rozporządzeniu IMERA Omnibusów tj. dyrektywy  Parlamentu Europejskiego i Rady (UE) 2024/2749 z dnia 9 października 2024 r. w sprawie zmiany dyrektyw 2000/14/WE, 2006/42/WE, 2010/35/UE, 2014/29/UE, 2014/30/UE, 2014/33/UE, 2014/34/UE, 2014/35/UE, 2014/53/UE i 2014/68/UE w odniesieniu do procedur nadzwyczajnych dotyczących oceny zgodności, domniemania zgodności, przyjmowania wspólnych specyfikacji i nadzoru rynku w związku z sytuacją nadzwyczajną na rynku wewnętrznym (dalej „dyrektywa (UE) 2024/2749”) oraz rozporządzenia Parlamentu Europejskiego i Rady (UE) 2024/2748 z dnia 9 października 2024 r. w sprawie zmiany rozporządzeń (UE) nr 305/2011, (UE) 2016/424, (UE) 2016/425, (UE) 2016/426, (UE) 2023/988 i (UE) 2023/1230 w odniesieniu do procedur nadzwyczajnych dotyczących oceny zgodności, domniemania zgodności, przyjmowania wspólnych specyfikacji </w:t>
      </w:r>
      <w:r w:rsidRPr="00D766E4">
        <w:rPr>
          <w:rFonts w:ascii="Arial" w:hAnsi="Arial" w:cs="Arial"/>
        </w:rPr>
        <w:lastRenderedPageBreak/>
        <w:t xml:space="preserve">i nadzoru rynku w związku z sytuacją nadzwyczajną na rynku wewnętrznym (dalej „rozporządzenie (UE) 2024/2748”), które łącznie tworzą pakiet zbiorczy „IMERA”. </w:t>
      </w:r>
    </w:p>
    <w:p w14:paraId="58FF447B" w14:textId="77777777" w:rsidR="00D766E4" w:rsidRPr="00D766E4" w:rsidRDefault="00D766E4" w:rsidP="00D766E4">
      <w:pPr>
        <w:spacing w:after="0" w:line="300" w:lineRule="auto"/>
        <w:jc w:val="both"/>
        <w:rPr>
          <w:rFonts w:ascii="Arial" w:hAnsi="Arial" w:cs="Arial"/>
        </w:rPr>
      </w:pPr>
      <w:r w:rsidRPr="00D766E4">
        <w:rPr>
          <w:rFonts w:ascii="Arial" w:hAnsi="Arial" w:cs="Arial"/>
        </w:rPr>
        <w:t>IMERA ma służyć przewidywaniu skutków przyszłych kryzysów oraz przygotowywaniu się i reagowaniu na nie. Opiera się na wnioskach z ostatnich sytuacji nadzwyczajnych, takich jak Covid-19, rosyjska agresja na Ukrainę i kryzys energetyczny. Rozporządzenie IMERA przewiduje monitorowanie możliwości wystąpienia przyszłych kryzysów oraz wprowadza system zarządzania kryzysowego umożliwiający państwom członkowskim skoordynowaną reakcję. Głównym celem instrumentu jest zapewnienie bezpieczeństwa gospodarczego, sprawnej i elastycznej odpowiedzi rynku wewnętrznego na sytuacje kryzysowe, a tym samym utrzymanie jego prawidłowego płynnego funkcjonowania. Stanowi to odpowiedź na wcześniejsze doświadczenia, gdy reakcje poszczególnych państw członkowskich na kryzysy były rozbieżne i niespójne (z elementami rywalizacji), co prowadziło do dodatkowego potęgowania zakłóceń w funkcjonowaniu rynku.</w:t>
      </w:r>
    </w:p>
    <w:p w14:paraId="53F306B6" w14:textId="77777777" w:rsidR="00D766E4" w:rsidRPr="00D766E4" w:rsidRDefault="00D766E4" w:rsidP="00D766E4">
      <w:pPr>
        <w:spacing w:after="0" w:line="300" w:lineRule="auto"/>
        <w:jc w:val="both"/>
        <w:rPr>
          <w:rFonts w:ascii="Arial" w:hAnsi="Arial" w:cs="Arial"/>
        </w:rPr>
      </w:pPr>
      <w:r w:rsidRPr="00D766E4">
        <w:rPr>
          <w:rFonts w:ascii="Arial" w:hAnsi="Arial" w:cs="Arial"/>
        </w:rPr>
        <w:t>Rozporządzenie IMERA obejmuje wszystkie towary i usługi z wyjątkiem tych, które są objęte dedykowanymi ramami sektorowymi, tj. produktów leczniczych, wyrobów medycznych, innych medycznych środków przeciwdziałania, półprzewodników, produktów energetycznych, usług finansowych czy produktów związanych z obronnością, które podlegają wyłączeniu z rozporządzenia IMERA. Rozporządzenie IMERA stosuje się również do przepływu osób, w tym pracowników. Tym samym instrument ten stanowi kluczowe, horyzontalne narzędzie uzupełniające i koordynujące w ramach istniejącej unijnej architektury zarządzania kryzysowego. Rozporządzenie IMERA przewiduje środki aktywowane w zależności od sytuacji na rynku wewnętrznym. Niektóre przewidziane tym rozporządzeniem środki mają charakter stały i służą budowaniu bezpieczeństwa gospodarczego i odporności łańcuchów dostaw (szkolenia, testy warunków skrajnych), a także wczesnemu identyfikowaniu potencjalnych zakłóceń, które mogłyby przekształcić się w sytuację kryzysową. W momencie wystąpienia kryzysu możliwe jest natomiast uruchomienie dodatkowych „szczególnych” środków przewidzianych w ramach dwóch trybów. Tryby te to odpowiednio: tryb podwyższonej czujności dotyczącej rynku wewnętrznego oraz tryb sytuacji nadzwyczajnej na rynku wewnętrznym.</w:t>
      </w:r>
    </w:p>
    <w:p w14:paraId="2D5560C4"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Rozporządzenie IMERA przewiduje środki, takie jak: </w:t>
      </w:r>
    </w:p>
    <w:p w14:paraId="3F6E0137" w14:textId="77777777" w:rsidR="00D766E4" w:rsidRPr="00D766E4" w:rsidRDefault="00D766E4" w:rsidP="00D766E4">
      <w:pPr>
        <w:pStyle w:val="Akapitzlist"/>
        <w:numPr>
          <w:ilvl w:val="0"/>
          <w:numId w:val="6"/>
        </w:numPr>
        <w:spacing w:after="0" w:line="300" w:lineRule="auto"/>
        <w:ind w:left="567" w:hanging="283"/>
        <w:jc w:val="both"/>
        <w:rPr>
          <w:rFonts w:ascii="Arial" w:hAnsi="Arial" w:cs="Arial"/>
        </w:rPr>
      </w:pPr>
      <w:r w:rsidRPr="00D766E4">
        <w:rPr>
          <w:rFonts w:ascii="Arial" w:hAnsi="Arial" w:cs="Arial"/>
        </w:rPr>
        <w:t xml:space="preserve">środki o charakterze stałym, w tym środki planowania awaryjnego i przygotowawcze, takie jak szkolenia i testy, a także prewencyjne, obejmujące współpracę na poziomie unijnym oraz między państwami członkowskimi, którą na poziomie krajowym koordynuje Centralne Biuro Łącznikowe; </w:t>
      </w:r>
    </w:p>
    <w:p w14:paraId="7A3175CA" w14:textId="77777777" w:rsidR="00D766E4" w:rsidRPr="00D766E4" w:rsidRDefault="00D766E4" w:rsidP="00D766E4">
      <w:pPr>
        <w:pStyle w:val="Akapitzlist"/>
        <w:numPr>
          <w:ilvl w:val="0"/>
          <w:numId w:val="6"/>
        </w:numPr>
        <w:spacing w:after="0" w:line="300" w:lineRule="auto"/>
        <w:ind w:left="567" w:hanging="283"/>
        <w:jc w:val="both"/>
        <w:rPr>
          <w:rFonts w:ascii="Arial" w:hAnsi="Arial" w:cs="Arial"/>
        </w:rPr>
      </w:pPr>
      <w:r w:rsidRPr="00D766E4">
        <w:rPr>
          <w:rFonts w:ascii="Arial" w:hAnsi="Arial" w:cs="Arial"/>
        </w:rPr>
        <w:t>środki podwyższonej czujności, obejmujące monitorowanie – po ogłoszeniu trybu podwyższonej czujności dotyczącej rynku wewnętrznego – przez organy państw członkowskich łańcuchów dostaw towarów i usług o krytycznym znaczeniu oraz swobodnego przepływu osób, w tym pracowników, zaangażowanych w produkcję i dostawy tych towarów i usług (art. 16);</w:t>
      </w:r>
    </w:p>
    <w:p w14:paraId="5680CC47" w14:textId="77777777" w:rsidR="00D766E4" w:rsidRPr="00D766E4" w:rsidRDefault="00D766E4" w:rsidP="00D766E4">
      <w:pPr>
        <w:pStyle w:val="Akapitzlist"/>
        <w:numPr>
          <w:ilvl w:val="0"/>
          <w:numId w:val="6"/>
        </w:numPr>
        <w:spacing w:after="0" w:line="300" w:lineRule="auto"/>
        <w:ind w:left="567" w:hanging="283"/>
        <w:jc w:val="both"/>
        <w:rPr>
          <w:rFonts w:ascii="Arial" w:hAnsi="Arial" w:cs="Arial"/>
        </w:rPr>
      </w:pPr>
      <w:r w:rsidRPr="00D766E4">
        <w:rPr>
          <w:rFonts w:ascii="Arial" w:hAnsi="Arial" w:cs="Arial"/>
        </w:rPr>
        <w:t>środki na rzecz ułatwienia swobodnego przepływu (art. 20-22);</w:t>
      </w:r>
    </w:p>
    <w:p w14:paraId="2629B069" w14:textId="77777777" w:rsidR="00D766E4" w:rsidRPr="00D766E4" w:rsidRDefault="00D766E4" w:rsidP="00D766E4">
      <w:pPr>
        <w:pStyle w:val="Akapitzlist"/>
        <w:numPr>
          <w:ilvl w:val="0"/>
          <w:numId w:val="6"/>
        </w:numPr>
        <w:spacing w:after="0" w:line="300" w:lineRule="auto"/>
        <w:ind w:left="567" w:hanging="283"/>
        <w:jc w:val="both"/>
        <w:rPr>
          <w:rFonts w:ascii="Arial" w:hAnsi="Arial" w:cs="Arial"/>
        </w:rPr>
      </w:pPr>
      <w:r w:rsidRPr="00D766E4">
        <w:rPr>
          <w:rFonts w:ascii="Arial" w:hAnsi="Arial" w:cs="Arial"/>
        </w:rPr>
        <w:t>środki reagowania w sytuacji nadzwyczajnej na rynku wewnętrznym podejmowane przez Komisję Europejską;</w:t>
      </w:r>
    </w:p>
    <w:p w14:paraId="28618636" w14:textId="77777777" w:rsidR="00D766E4" w:rsidRPr="00D766E4" w:rsidRDefault="00D766E4" w:rsidP="00D766E4">
      <w:pPr>
        <w:pStyle w:val="Akapitzlist"/>
        <w:numPr>
          <w:ilvl w:val="0"/>
          <w:numId w:val="6"/>
        </w:numPr>
        <w:spacing w:after="0" w:line="300" w:lineRule="auto"/>
        <w:ind w:left="567" w:hanging="283"/>
        <w:jc w:val="both"/>
        <w:rPr>
          <w:rFonts w:ascii="Arial" w:hAnsi="Arial" w:cs="Arial"/>
        </w:rPr>
      </w:pPr>
      <w:r w:rsidRPr="00D766E4">
        <w:rPr>
          <w:rFonts w:ascii="Arial" w:hAnsi="Arial" w:cs="Arial"/>
        </w:rPr>
        <w:lastRenderedPageBreak/>
        <w:t>inne środki służące zapewnieniu dostępności towarów i usług istotnych w kontekście kryzysu (art. 34-35), m.in. skoordynowana dystrybucja towarów i usług istotnych w kontekście kryzysu;</w:t>
      </w:r>
    </w:p>
    <w:p w14:paraId="406685D5" w14:textId="77777777" w:rsidR="00D766E4" w:rsidRPr="00D766E4" w:rsidRDefault="00D766E4" w:rsidP="00D766E4">
      <w:pPr>
        <w:pStyle w:val="Akapitzlist"/>
        <w:numPr>
          <w:ilvl w:val="0"/>
          <w:numId w:val="6"/>
        </w:numPr>
        <w:spacing w:after="0" w:line="300" w:lineRule="auto"/>
        <w:ind w:left="567" w:hanging="283"/>
        <w:jc w:val="both"/>
        <w:rPr>
          <w:rFonts w:ascii="Arial" w:hAnsi="Arial" w:cs="Arial"/>
        </w:rPr>
      </w:pPr>
      <w:r w:rsidRPr="00D766E4">
        <w:rPr>
          <w:rFonts w:ascii="Arial" w:hAnsi="Arial" w:cs="Arial"/>
        </w:rPr>
        <w:t>zamówienia publiczne, w tym wspólne zamówienia na zakup towarów i usług o krytycznym znaczeniu lub towarów i usług istotnych w kontekście kryzysu (Tytuł V).</w:t>
      </w:r>
    </w:p>
    <w:p w14:paraId="38290968"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Rozporządzenie IMERA jest stosowane bezpośrednio, jednakże prawodawca unijny pozostawił państwom członkowskim do uregulowania niektóre z kwestii związanych z jego stosowaniem, m.in. wyznaczenie właściwych organów i jednostek, które na poziomie krajowym będą realizować lub koordynować odpowiednie przewidziane w tym rozporządzeniu działania i obowiązki, a także będą odpowiedzialne za kontakt z Komisją oraz innymi państwami członkowskimi. W związku z ww. zakresem przedmiotowym (m.in. wyznaczenie odpowiednich jednostek i struktur do realizacji celów rozporządzenia IMERA oraz przyznanie kompetencji organom), nie jest możliwe zastosowanie rozwiązań </w:t>
      </w:r>
      <w:proofErr w:type="spellStart"/>
      <w:r w:rsidRPr="00D766E4">
        <w:rPr>
          <w:rFonts w:ascii="Arial" w:hAnsi="Arial" w:cs="Arial"/>
        </w:rPr>
        <w:t>pozalegislacyjnych</w:t>
      </w:r>
      <w:proofErr w:type="spellEnd"/>
      <w:r w:rsidRPr="00D766E4">
        <w:rPr>
          <w:rFonts w:ascii="Arial" w:hAnsi="Arial" w:cs="Arial"/>
        </w:rPr>
        <w:t xml:space="preserve">, zaś jedynym skutecznym narzędziem interwencji jest przyjęcie aktu prawnego rangi ustawowej. </w:t>
      </w:r>
    </w:p>
    <w:p w14:paraId="195AAA22" w14:textId="77777777" w:rsidR="00D766E4" w:rsidRPr="00D766E4" w:rsidRDefault="00D766E4" w:rsidP="00D766E4">
      <w:pPr>
        <w:spacing w:after="0" w:line="300" w:lineRule="auto"/>
        <w:jc w:val="both"/>
        <w:rPr>
          <w:rFonts w:ascii="Arial" w:hAnsi="Arial" w:cs="Arial"/>
        </w:rPr>
      </w:pPr>
      <w:r w:rsidRPr="00D766E4">
        <w:rPr>
          <w:rFonts w:ascii="Arial" w:hAnsi="Arial" w:cs="Arial"/>
        </w:rPr>
        <w:t>W celu zapewnienia stosowania rozporządzenia IMERA, projekt określa właściwość organów administracji i podmiotów realizujących zadani publiczne w zakresie realizacji środków dotyczących wzmacniania odporności rynku wewnętrznego i reagowania na kryzysy oraz sposób realizacji tych środków.</w:t>
      </w:r>
    </w:p>
    <w:p w14:paraId="463D9B8A"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Rozporządzenie IMERA stosuje się od 29 maja 2026 r.  </w:t>
      </w:r>
    </w:p>
    <w:p w14:paraId="4484D805" w14:textId="77777777" w:rsidR="00D766E4" w:rsidRPr="00D766E4" w:rsidRDefault="00D766E4" w:rsidP="00D766E4">
      <w:pPr>
        <w:spacing w:after="0" w:line="300" w:lineRule="auto"/>
        <w:jc w:val="both"/>
        <w:rPr>
          <w:rFonts w:ascii="Arial" w:hAnsi="Arial" w:cs="Arial"/>
        </w:rPr>
      </w:pPr>
      <w:r w:rsidRPr="00D766E4">
        <w:rPr>
          <w:rFonts w:ascii="Arial" w:hAnsi="Arial" w:cs="Arial"/>
        </w:rPr>
        <w:t>W chwili obecnej w polskim systemie prawnym nie funkcjonuje narzędzie realizujące cele tożsame z IMERA. W Polsce nie funkcjonuje horyzontalny model monitorowania łańcuchów dostaw ani analiz incydentów w nich zachodzących. Działania w tym zakresie podejmowane są w wybranych sektorach (co do zasady wskutek implementacji sektorowych instrumentów unijnych), brak jest jednak ustrukturyzowanych ram mających na celu przekrojową analizę łańcuchów dostaw oraz zapewniania koordynacji wysiłków w zakresie budowanie odporności krajowych łańcuchów dostaw jako części rynku wewnętrznego. Niniejszy projekt takie ramy wprowadza, stanowiąc istotne podwaliny na rzecz budowania bezpieczeństwa gospodarczego kraju.</w:t>
      </w:r>
    </w:p>
    <w:p w14:paraId="37601E52" w14:textId="77777777" w:rsidR="00D766E4" w:rsidRPr="00D766E4" w:rsidRDefault="00D766E4" w:rsidP="00D766E4">
      <w:pPr>
        <w:spacing w:after="0" w:line="300" w:lineRule="auto"/>
        <w:jc w:val="both"/>
        <w:rPr>
          <w:rFonts w:ascii="Arial" w:hAnsi="Arial" w:cs="Arial"/>
        </w:rPr>
      </w:pPr>
      <w:r w:rsidRPr="00D766E4">
        <w:rPr>
          <w:rFonts w:ascii="Arial" w:hAnsi="Arial" w:cs="Arial"/>
        </w:rPr>
        <w:t>Zapewnienie stosowania rozporządzenia (UE) 2024/2748 oraz wdrożenie dyrektywy (UE) 2024/2749</w:t>
      </w:r>
    </w:p>
    <w:p w14:paraId="7D77F5D8"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Rozporządzeniu IMERA towarzyszą dwa omnibusy, tj. rozporządzenie (UE) 2024/2748 oraz dyrektywa (UE) 2024/2749. Omnibusy te wprowadzają zmiany do przepisów dotyczących produktów, tj. łącznie sześciu rozporządzeń unijnych i dziesięciu dyrektyw, obejmujących niektóre towary zharmonizowane, a także wszystkie produkty niezharmonizowane, kreując tym samym obowiązek dla państw członkowskich do odpowiedniego dostosowania przyjętych regulacji krajowych. Zmiany przewidziane przez Omnibusy odnoszą się do procedur nadzwyczajnych w stosunku do różnego rodzaju towarów, w przypadku, gdy towary te są towarami istotnymi w kontekście kryzysu. Zmiany te mają tym samym na celu zapewnić dostępność na rynku wewnętrznym takich towarów w sytuacjach kryzysowych poprzez ujednolicenie trybu dopuszczania ich na rynek w sytuacjach kryzysowych na zasadach odstępstwa, zapobiegając tym samym niedoborom i fragmentacji, do jakiej doszłoby, gdyby każde z państw członkowskich przyjęło zróżnicowane środki krajowe. Projekt służy więc wdrożeniu mechanizmów umożliwiających działanie takich środków nadzwyczajnych. Odstępstwa te obejmują: </w:t>
      </w:r>
    </w:p>
    <w:p w14:paraId="7E1F594C" w14:textId="77777777" w:rsidR="00D766E4" w:rsidRPr="00D766E4" w:rsidRDefault="00D766E4" w:rsidP="00D766E4">
      <w:pPr>
        <w:pStyle w:val="Akapitzlist"/>
        <w:numPr>
          <w:ilvl w:val="0"/>
          <w:numId w:val="7"/>
        </w:numPr>
        <w:spacing w:after="0" w:line="300" w:lineRule="auto"/>
        <w:ind w:left="567" w:hanging="283"/>
        <w:jc w:val="both"/>
        <w:rPr>
          <w:rFonts w:ascii="Arial" w:hAnsi="Arial" w:cs="Arial"/>
        </w:rPr>
      </w:pPr>
      <w:r w:rsidRPr="00D766E4">
        <w:rPr>
          <w:rFonts w:ascii="Arial" w:hAnsi="Arial" w:cs="Arial"/>
        </w:rPr>
        <w:lastRenderedPageBreak/>
        <w:t>priorytetowe traktowanie przez jednostki notyfikowane wniosków o ocenę zgodności dotyczących towarów istotnych w kontekście kryzysu;</w:t>
      </w:r>
    </w:p>
    <w:p w14:paraId="13B1C64D" w14:textId="77777777" w:rsidR="00D766E4" w:rsidRPr="00D766E4" w:rsidRDefault="00D766E4" w:rsidP="00D766E4">
      <w:pPr>
        <w:pStyle w:val="Akapitzlist"/>
        <w:numPr>
          <w:ilvl w:val="0"/>
          <w:numId w:val="7"/>
        </w:numPr>
        <w:spacing w:after="0" w:line="300" w:lineRule="auto"/>
        <w:ind w:left="567" w:hanging="283"/>
        <w:jc w:val="both"/>
        <w:rPr>
          <w:rFonts w:ascii="Arial" w:hAnsi="Arial" w:cs="Arial"/>
        </w:rPr>
      </w:pPr>
      <w:r w:rsidRPr="00D766E4">
        <w:rPr>
          <w:rFonts w:ascii="Arial" w:hAnsi="Arial" w:cs="Arial"/>
        </w:rPr>
        <w:t>możliwość wydawania przez właściwe organy krajowe zezwoleń na dopuszczenie towarów z odstępstwem od procedur oceny zgodności wymagających obowiązkowego udziału jednostki notyfikowanej;</w:t>
      </w:r>
    </w:p>
    <w:p w14:paraId="26113E08" w14:textId="77777777" w:rsidR="00D766E4" w:rsidRPr="00D766E4" w:rsidRDefault="00D766E4" w:rsidP="00D766E4">
      <w:pPr>
        <w:pStyle w:val="Akapitzlist"/>
        <w:numPr>
          <w:ilvl w:val="0"/>
          <w:numId w:val="7"/>
        </w:numPr>
        <w:spacing w:after="0" w:line="300" w:lineRule="auto"/>
        <w:ind w:left="567" w:hanging="283"/>
        <w:jc w:val="both"/>
        <w:rPr>
          <w:rFonts w:ascii="Arial" w:hAnsi="Arial" w:cs="Arial"/>
        </w:rPr>
      </w:pPr>
      <w:r w:rsidRPr="00D766E4">
        <w:rPr>
          <w:rFonts w:ascii="Arial" w:hAnsi="Arial" w:cs="Arial"/>
        </w:rPr>
        <w:t>możliwość opierania się na odpowiednich normach krajowych i międzynarodowych w celu wykazania zgodności towaru;</w:t>
      </w:r>
    </w:p>
    <w:p w14:paraId="7E858C5F" w14:textId="77777777" w:rsidR="00D766E4" w:rsidRPr="00D766E4" w:rsidRDefault="00D766E4" w:rsidP="00D766E4">
      <w:pPr>
        <w:pStyle w:val="Akapitzlist"/>
        <w:numPr>
          <w:ilvl w:val="0"/>
          <w:numId w:val="7"/>
        </w:numPr>
        <w:spacing w:after="0" w:line="300" w:lineRule="auto"/>
        <w:ind w:left="567" w:hanging="283"/>
        <w:jc w:val="both"/>
        <w:rPr>
          <w:rFonts w:ascii="Arial" w:hAnsi="Arial" w:cs="Arial"/>
        </w:rPr>
      </w:pPr>
      <w:r w:rsidRPr="00D766E4">
        <w:rPr>
          <w:rFonts w:ascii="Arial" w:hAnsi="Arial" w:cs="Arial"/>
        </w:rPr>
        <w:t>możliwość przyjmowania przez Komisję Europejską, za pomocą aktów wykonawczych, wspólnych specyfikacji dla towarów istotnych w kontekście kryzysu, wprowadzających domniemanie zgodności;</w:t>
      </w:r>
    </w:p>
    <w:p w14:paraId="6467260D" w14:textId="77777777" w:rsidR="00D766E4" w:rsidRPr="00D766E4" w:rsidRDefault="00D766E4" w:rsidP="00D766E4">
      <w:pPr>
        <w:pStyle w:val="Akapitzlist"/>
        <w:numPr>
          <w:ilvl w:val="0"/>
          <w:numId w:val="7"/>
        </w:numPr>
        <w:spacing w:after="0" w:line="300" w:lineRule="auto"/>
        <w:ind w:left="567" w:hanging="283"/>
        <w:jc w:val="both"/>
        <w:rPr>
          <w:rFonts w:ascii="Arial" w:hAnsi="Arial" w:cs="Arial"/>
        </w:rPr>
      </w:pPr>
      <w:r w:rsidRPr="00D766E4">
        <w:rPr>
          <w:rFonts w:ascii="Arial" w:hAnsi="Arial" w:cs="Arial"/>
        </w:rPr>
        <w:t>priorytetowe nadzorowanie rynku towarów istotnych w kontekście kryzysu.</w:t>
      </w:r>
    </w:p>
    <w:p w14:paraId="642B9F35"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Rozwiązania w zakresie zapewnienia stosowania rozporządzenia IMERA </w:t>
      </w:r>
    </w:p>
    <w:p w14:paraId="78878FF7"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Projekt przewiduje następujące rozwiązania: </w:t>
      </w:r>
    </w:p>
    <w:p w14:paraId="03AADD29" w14:textId="77777777" w:rsidR="00D766E4" w:rsidRPr="00D766E4" w:rsidRDefault="00D766E4" w:rsidP="00D766E4">
      <w:pPr>
        <w:pStyle w:val="Akapitzlist"/>
        <w:numPr>
          <w:ilvl w:val="0"/>
          <w:numId w:val="8"/>
        </w:numPr>
        <w:spacing w:after="0" w:line="300" w:lineRule="auto"/>
        <w:ind w:left="567" w:hanging="283"/>
        <w:jc w:val="both"/>
        <w:rPr>
          <w:rFonts w:ascii="Arial" w:hAnsi="Arial" w:cs="Arial"/>
        </w:rPr>
      </w:pPr>
      <w:r w:rsidRPr="00D766E4">
        <w:rPr>
          <w:rFonts w:ascii="Arial" w:hAnsi="Arial" w:cs="Arial"/>
        </w:rPr>
        <w:t>wskazanie ministra właściwego do spraw gospodarki jako organ właściwy, który:</w:t>
      </w:r>
    </w:p>
    <w:p w14:paraId="4CF32D0F"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prowadzi, w zakresie w jakim nie jest to uregulowane odrębnymi ramami sektorowymi, we współpracy z właściwymi ministrami kierującymi działami administracji rządowej oraz innymi właściwymi organami administracji publicznej oraz podmiotami realizującymi zadania publiczne, działania monitorujące, o których mowa w art. 16 ust. 1 rozporządzenia IMERA, w tym tworzy, aktualizuje i prowadzi listę odpowiednich podmiotów gospodarczych prowadzących działalność w łańcuchach dostaw towarów i usług o krytycznym znaczeniu, o której mowa w art. 16 ust. 3 rozporządzenia 2024/2747, oraz realizuje procedurę składania wniosków o udzielenie informacji przez najbardziej odpowiednie podmioty działające w łańcuchach dostaw towarów i usług o krytycznym znaczeniu, o której mowa w art. 16 ust. 4 rozporządzenia IMERA, uwzględniając zasady, o których mowa w art. 16 ust. 5 tego rozporządzenia;</w:t>
      </w:r>
    </w:p>
    <w:p w14:paraId="28147703"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 xml:space="preserve">prowadzi, we współpracy z właściwymi ministrami kierującymi działami administracji rządowej oraz innymi właściwymi organami administracji publicznej oraz podmiotami realizującymi zadania publiczne, konsultacje z przedstawicielami podmiotów gospodarczych oraz z partnerami społecznymi, o których mowa w art. 9 ust. 3 lit. b i c rozporządzenia IMERA; </w:t>
      </w:r>
    </w:p>
    <w:p w14:paraId="34266A68"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koordynację procesu wdrażania przez właściwe organy administracji i podmioty realizujące zadania publiczne środków służących zapewnieniu dostępności i dostaw towarów istotnych w kontekście kryzysu lub usług istotnych w kontekście kryzysu, o których mowa w art. 35 rozporządzenia 2024/2747;</w:t>
      </w:r>
    </w:p>
    <w:p w14:paraId="40CCFA16"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prowadzi Centralne Biuro Łącznikowe, o którym mowa w art. 8 ust. 1 rozporządzenia IMERA oraz Pojedynczy Punkt Kontaktowy, o którym mowa w art. 24 ust. 1 rozporządzenia IMERA;</w:t>
      </w:r>
    </w:p>
    <w:p w14:paraId="12A303D3"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koordynację procesu przekazywania Komisji Europejskiej informacji do celów sprawozdawczych, o których mowa w art. 46 ust. 5 rozporządzenia 2024/2747;</w:t>
      </w:r>
    </w:p>
    <w:p w14:paraId="12D6635D"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koordynację współpracy na poziomie technicznym, o której mowa w art. 9 ust. 3 lit. d rozporządzenia IMERA;</w:t>
      </w:r>
    </w:p>
    <w:p w14:paraId="45AE929E"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lastRenderedPageBreak/>
        <w:t xml:space="preserve">koordynację procesu ustanawiania jednolitych formularzy cyfrowych do celów deklaracji, rejestracji lub zezwoleń, o których mowa w art. 9 ust. 5 rozporządzenia IMERA; </w:t>
      </w:r>
    </w:p>
    <w:p w14:paraId="553B9B34" w14:textId="77777777" w:rsidR="00D766E4" w:rsidRPr="00D766E4" w:rsidRDefault="00D766E4" w:rsidP="00D766E4">
      <w:pPr>
        <w:pStyle w:val="Akapitzlist"/>
        <w:numPr>
          <w:ilvl w:val="0"/>
          <w:numId w:val="9"/>
        </w:numPr>
        <w:spacing w:after="0" w:line="300" w:lineRule="auto"/>
        <w:ind w:left="993" w:hanging="284"/>
        <w:jc w:val="both"/>
        <w:rPr>
          <w:rFonts w:ascii="Arial" w:hAnsi="Arial" w:cs="Arial"/>
        </w:rPr>
      </w:pPr>
      <w:r w:rsidRPr="00D766E4">
        <w:rPr>
          <w:rFonts w:ascii="Arial" w:hAnsi="Arial" w:cs="Arial"/>
        </w:rPr>
        <w:t>tworzy, utrzymuje i regularnie aktualizuje narzędzia i infrastrukturę informatyczną, o których mowa w art. 44 ust 1. rozporządzenia IMERA.</w:t>
      </w:r>
    </w:p>
    <w:p w14:paraId="6ABDF1A1" w14:textId="77777777" w:rsidR="00D766E4" w:rsidRPr="00D766E4" w:rsidRDefault="00D766E4" w:rsidP="00D766E4">
      <w:pPr>
        <w:pStyle w:val="Akapitzlist"/>
        <w:numPr>
          <w:ilvl w:val="0"/>
          <w:numId w:val="8"/>
        </w:numPr>
        <w:spacing w:after="0" w:line="300" w:lineRule="auto"/>
        <w:ind w:left="567" w:hanging="283"/>
        <w:jc w:val="both"/>
        <w:rPr>
          <w:rFonts w:ascii="Arial" w:hAnsi="Arial" w:cs="Arial"/>
        </w:rPr>
      </w:pPr>
      <w:r w:rsidRPr="00D766E4">
        <w:rPr>
          <w:rFonts w:ascii="Arial" w:hAnsi="Arial" w:cs="Arial"/>
        </w:rPr>
        <w:t>zapewnienie uprawnienia dla ministra właściwego ds. gospodarki w zakresie dostępu do danych zgromadzonych w Centralnej Ewidencji i Informacji o Działalności Gospodarczej oraz rejestrze REGON z uwzględnieniem danych nieudostępnianych publicznie na podstawie przepisów regulujących prowadzenie tych rejestrów, w zakresie niezbędnym do realizacji zadań ustawowych;</w:t>
      </w:r>
    </w:p>
    <w:p w14:paraId="13EBA23B" w14:textId="77777777" w:rsidR="00D766E4" w:rsidRPr="00D766E4" w:rsidRDefault="00D766E4" w:rsidP="00D766E4">
      <w:pPr>
        <w:pStyle w:val="Akapitzlist"/>
        <w:numPr>
          <w:ilvl w:val="0"/>
          <w:numId w:val="8"/>
        </w:numPr>
        <w:spacing w:after="0" w:line="300" w:lineRule="auto"/>
        <w:ind w:left="567" w:hanging="283"/>
        <w:jc w:val="both"/>
        <w:rPr>
          <w:rFonts w:ascii="Arial" w:hAnsi="Arial" w:cs="Arial"/>
        </w:rPr>
      </w:pPr>
      <w:r w:rsidRPr="00D766E4">
        <w:rPr>
          <w:rFonts w:ascii="Arial" w:hAnsi="Arial" w:cs="Arial"/>
        </w:rPr>
        <w:t>zobowiązanie organów administracji publicznej oraz podmiotów realizujących zadania publiczne do współpracy z ministrem właściwym ds. gospodarki w zakresie niezbędnym do realizowania zadań przez Centralne Biuro Łącznikowe oraz Pojedynczy Punkt Kontaktowy;</w:t>
      </w:r>
    </w:p>
    <w:p w14:paraId="51BB64C2" w14:textId="77777777" w:rsidR="00D766E4" w:rsidRPr="00D766E4" w:rsidRDefault="00D766E4" w:rsidP="00D766E4">
      <w:pPr>
        <w:pStyle w:val="Akapitzlist"/>
        <w:numPr>
          <w:ilvl w:val="0"/>
          <w:numId w:val="8"/>
        </w:numPr>
        <w:spacing w:after="0" w:line="300" w:lineRule="auto"/>
        <w:ind w:left="567" w:hanging="283"/>
        <w:jc w:val="both"/>
        <w:rPr>
          <w:rFonts w:ascii="Arial" w:hAnsi="Arial" w:cs="Arial"/>
        </w:rPr>
      </w:pPr>
      <w:r w:rsidRPr="00D766E4">
        <w:rPr>
          <w:rFonts w:ascii="Arial" w:hAnsi="Arial" w:cs="Arial"/>
        </w:rPr>
        <w:t>wskazanie szczególnych obszarów współpracy Rządowego Centrum Bezpieczeństwa z ministrem właściwym ds. gospodarki. Obszary te obejmują wymianę informacji istotnych w kontekście kryzysu, uruchomienia trybu podwyższonej czujności dotyczącej rynku wewnętrznego lub trybu sytuacji nadzwyczajnej na rynku wewnętrznym, a także komunikację dotyczącą ryzyka, w tym w kontekście kryzysu, uruchomienia trybu podwyższonej czujności dotyczącej rynku wewnętrznego lub trybu sytuacji nadzwyczajnej na rynku wewnętrznym;</w:t>
      </w:r>
    </w:p>
    <w:p w14:paraId="1D155094" w14:textId="77777777" w:rsidR="00D766E4" w:rsidRPr="00D766E4" w:rsidRDefault="00D766E4" w:rsidP="00D766E4">
      <w:pPr>
        <w:pStyle w:val="Akapitzlist"/>
        <w:numPr>
          <w:ilvl w:val="0"/>
          <w:numId w:val="8"/>
        </w:numPr>
        <w:spacing w:after="0" w:line="300" w:lineRule="auto"/>
        <w:ind w:left="567" w:hanging="283"/>
        <w:jc w:val="both"/>
        <w:rPr>
          <w:rFonts w:ascii="Arial" w:hAnsi="Arial" w:cs="Arial"/>
        </w:rPr>
      </w:pPr>
      <w:r w:rsidRPr="00D766E4">
        <w:rPr>
          <w:rFonts w:ascii="Arial" w:hAnsi="Arial" w:cs="Arial"/>
        </w:rPr>
        <w:t>powierzenie Rządowej Agencji Rezerw Strategicznych realizacji zadań w zakresie zamówień publicznych, o których mowa w tytule V (art. 36-41) rozporządzenia IMERA, a także koordynację realizowanego przez właściwe organy administracji i podmioty realizujące zadania publiczne procesu ukierunkowanej dystrybucji towarów lub usług istotnych w kontekście kryzysu, jak i gromadzenie informacji z zakresu zamówień publicznych na towary i usługi o krytycznym znaczeniu oraz towary i usługi istotne w kontekście kryzysu.</w:t>
      </w:r>
    </w:p>
    <w:p w14:paraId="55C0F908" w14:textId="77777777" w:rsidR="00D766E4" w:rsidRPr="00D766E4" w:rsidRDefault="00D766E4" w:rsidP="00D766E4">
      <w:pPr>
        <w:spacing w:after="0" w:line="300" w:lineRule="auto"/>
        <w:jc w:val="both"/>
        <w:rPr>
          <w:rFonts w:ascii="Arial" w:hAnsi="Arial" w:cs="Arial"/>
        </w:rPr>
      </w:pPr>
      <w:r w:rsidRPr="00D766E4">
        <w:rPr>
          <w:rFonts w:ascii="Arial" w:hAnsi="Arial" w:cs="Arial"/>
        </w:rPr>
        <w:t>Koordynacyjna rola ministra właściwego ds. gospodarki w stosunku do pozostałych obowiązków wynikających z rozporządzenia IMERA</w:t>
      </w:r>
    </w:p>
    <w:p w14:paraId="671E9BBE"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Mając na uwadze koordynacyjną rolę ministra właściwego ds. gospodarki poprzez prowadzenie CBŁ i PPK polegającą na współpracy i wymianie informacji między właściwymi organami krajowymi, KE oraz </w:t>
      </w:r>
      <w:proofErr w:type="spellStart"/>
      <w:r w:rsidRPr="00D766E4">
        <w:rPr>
          <w:rFonts w:ascii="Arial" w:hAnsi="Arial" w:cs="Arial"/>
        </w:rPr>
        <w:t>p.czł</w:t>
      </w:r>
      <w:proofErr w:type="spellEnd"/>
      <w:r w:rsidRPr="00D766E4">
        <w:rPr>
          <w:rFonts w:ascii="Arial" w:hAnsi="Arial" w:cs="Arial"/>
        </w:rPr>
        <w:t xml:space="preserve">. zasadne jest powierzenie koordynacji także innych zadań wynikających z rozporządzenia IMERA. Takie rozwiązanie zapewni sprawny przepływ informacji. </w:t>
      </w:r>
    </w:p>
    <w:p w14:paraId="1C49C12F"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Przypisanie roli koordynującej we współpracy i wymianie informacji między organami krajowymi, KE i </w:t>
      </w:r>
      <w:proofErr w:type="spellStart"/>
      <w:r w:rsidRPr="00D766E4">
        <w:rPr>
          <w:rFonts w:ascii="Arial" w:hAnsi="Arial" w:cs="Arial"/>
        </w:rPr>
        <w:t>p.czł</w:t>
      </w:r>
      <w:proofErr w:type="spellEnd"/>
      <w:r w:rsidRPr="00D766E4">
        <w:rPr>
          <w:rFonts w:ascii="Arial" w:hAnsi="Arial" w:cs="Arial"/>
        </w:rPr>
        <w:t xml:space="preserve"> w odniesieniu do niektórych obowiązków, rozproszonych pomiędzy różne instytucje, ma na celu po pierwsze zapewnienie ich skutecznej realizacji stosownie do komunikatów i decyzji podjętych na poziomie UE, a po drugie umożliwieniu pełnego oglądu na środki wdrażane na poziomie krajowym w związku z uruchomieniem działań przewidzianych rozporządzeniem IMERA, zapewniając tym samym prawidłowy obieg informacji na linii państwo członkowskie – Komisja Europejska. Przekrojowy charakter instrumentu jakim jest IMERA sprawia, że w zależności od rodzaju kryzysu zaangażowane mogą być bardzo różne organy i instytucje.</w:t>
      </w:r>
    </w:p>
    <w:p w14:paraId="5484F6E6" w14:textId="77777777" w:rsidR="00D766E4" w:rsidRPr="00D766E4" w:rsidRDefault="00D766E4" w:rsidP="00D766E4">
      <w:pPr>
        <w:spacing w:after="0" w:line="300" w:lineRule="auto"/>
        <w:jc w:val="both"/>
        <w:rPr>
          <w:rFonts w:ascii="Arial" w:hAnsi="Arial" w:cs="Arial"/>
        </w:rPr>
      </w:pPr>
      <w:r w:rsidRPr="00D766E4">
        <w:rPr>
          <w:rFonts w:ascii="Arial" w:hAnsi="Arial" w:cs="Arial"/>
        </w:rPr>
        <w:lastRenderedPageBreak/>
        <w:t xml:space="preserve">Monitorowania łańcuchów dostaw i swobody przepływu </w:t>
      </w:r>
    </w:p>
    <w:p w14:paraId="0C00B2B2" w14:textId="77777777" w:rsidR="00D766E4" w:rsidRPr="00D766E4" w:rsidRDefault="00D766E4" w:rsidP="00D766E4">
      <w:pPr>
        <w:spacing w:after="0" w:line="300" w:lineRule="auto"/>
        <w:jc w:val="both"/>
        <w:rPr>
          <w:rFonts w:ascii="Arial" w:hAnsi="Arial" w:cs="Arial"/>
        </w:rPr>
      </w:pPr>
      <w:r w:rsidRPr="00D766E4">
        <w:rPr>
          <w:rFonts w:ascii="Arial" w:hAnsi="Arial" w:cs="Arial"/>
        </w:rPr>
        <w:t>Rozporządzenie IMERA zobowiązuje państwa członkowskie do powiadamiania Komisji Europejskiej oraz centralnych biur łącznikowych innych państw członkowskich o wszelkich znaczących incydentach oraz do analizy takich incydentów (art. 13). W praktyce oznacza to konieczność ustanowienia przez państwa członkowskie funkcjonalnych ram monitorowania łańcuchów dostaw. Bez takiej infrastruktury oraz sieci współpracy niemożliwe jest skuteczne wykrywanie i analiza istotnych incydentów (mogących mieć wpływ na łańcuchy dostaw i niedobory produktów) w ramach stałego i kompleksowego monitoringu rynku.</w:t>
      </w:r>
    </w:p>
    <w:p w14:paraId="11D401AD"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Jednocześnie rozporządzenie IMERA wymaga, aby po ogłoszeniu trybu podwyższonej czujności dotyczącej rynku wewnętrznego właściwe organy krajowe monitorowały konkretne łańcuchy dostaw towarów i usług o krytycznym znaczeniu oraz swobodny przepływ osób, w tym pracowników, zaangażowanych w produkcję i dostawy tych towarów i usług w oparciu o utworzony przez siebie wykaz odpowiednich podmiotów gospodarczych mających siedzibę na ich terytorium, działających w ramach łańcuchów dostaw towarów i usług o krytycznym znaczeniu. Zakres takiego monitorowania wyznacza akt wykonawczy Rady uruchamiający tryb podwyższonej czujności (monitowanie ukierunkowane). </w:t>
      </w:r>
    </w:p>
    <w:p w14:paraId="0D51075E"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Rozporządzenie IMERA nie jest jedynym przyjętym w ostatnim czasie instrumentem unijnym przewidującym tego rodzaju mechanizmy monitorowania. Podobne rozwiązania pojawiają się również w innych aktach, w Akcie w sprawie </w:t>
      </w:r>
      <w:proofErr w:type="spellStart"/>
      <w:r w:rsidRPr="00D766E4">
        <w:rPr>
          <w:rFonts w:ascii="Arial" w:hAnsi="Arial" w:cs="Arial"/>
        </w:rPr>
        <w:t>czipów</w:t>
      </w:r>
      <w:proofErr w:type="spellEnd"/>
      <w:r w:rsidRPr="00D766E4">
        <w:rPr>
          <w:rFonts w:ascii="Arial" w:hAnsi="Arial" w:cs="Arial"/>
        </w:rPr>
        <w:t xml:space="preserve"> , a także w rozporządzeniu dot. surowców krytycznych (CRMA) . Mechanizmy monitorowania przewidziane w tych aktach wzajemnie się uzupełniają, przy czym wymienione akty w przeciwieństwie do horyzontalnego rozporządzenia IMERA, mają charakter sektorowy. Na poziomie krajowym kluczowe jest zatem takie ukształtowanie procedur, aby zapewnić synergię między poszczególnymi systemami monitorowania. Rozwiązanie przyjęte w projekcie ustawy tworzą podwaliny do takiej synergii i współpracy. Przewidują bowiem, że zasadniczo obowiązki w zakresie monitorowania, o których mowa w IMERA, będą spoczywać na ministrze właściwym do spraw gospodarki (monitorowanie ogólne - stałe, jak i ukierunkowane w trybie podwyższonej czujności). Jednocześnie minister właściwy do spraw gospodarki nie będzie prowadził monitoringu w tych obszarach, które już są lub będą objęte wspomnianymi odrębnymi ramami sektorowymi. </w:t>
      </w:r>
    </w:p>
    <w:p w14:paraId="7894597E"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Mając na uwadze horyzontalny i przekrojowy charakter IMERA, obejmujący różne grupy produktów i usług, monitoring będzie odbywał się we współpracy z właściwymi ministrami kierującymi działami administracji rządowej oraz innymi właściwymi organami administracji publicznej oraz podmiotami realizującymi zadania publiczne, co służy zapewnieniu niezbędnej elastyczności w zakresie doboru podmiotów najbardziej kompetentnych do działań monitorujących w zależności od rodzaju towarów, których łańcuchy dostaw w danej sytuacji kryzysowej mają podlegać monitorowaniu (zarówno stałemu, w kontekście analizy łańcuchów dostaw pod katem incydentów, jak i w przypadku uruchomienia trybu podwyższonej czujności). </w:t>
      </w:r>
    </w:p>
    <w:p w14:paraId="6E3A2763"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Jednocześnie, aby umożliwić, ministrowi właściwemu ds. gospodarki realizację zadań z zakresu monitorowania niezbędne byłoby wyposażenie go w pewne narzędzia, które umożliwiałby pozyskiwanie danych o sytuacji na rynku i w ramach łańcuchów dostaw.  Zapewnienia takiej operacyjności, oprócz art. 13 (monitorowanie stałe) oraz art. 16 (monitorowanie ukierunkowane w trybie podwyższonej czujności) wymaga również art. 9 ust. 3 lit b) rozporządzenie IMERA, który zobowiązuje państwa członkowskie do zapewniania ustaleń dotyczących terminowej współpracy i bezpiecznej wymiany informacji między Komisją, </w:t>
      </w:r>
      <w:r w:rsidRPr="00D766E4">
        <w:rPr>
          <w:rFonts w:ascii="Arial" w:hAnsi="Arial" w:cs="Arial"/>
        </w:rPr>
        <w:lastRenderedPageBreak/>
        <w:t>odpowiednimi organami na poziomie unijnym i państwami członkowskimi w zakresie konsultacji z przedstawicielami podmiotów gospodarczych, w tym MŚP, dotyczących ich inicjatyw i działań w zakresie łagodzenia potencjalnych sytuacji kryzysowych na rynku wewnętrznym oraz reagowania na te sytuacje.</w:t>
      </w:r>
    </w:p>
    <w:p w14:paraId="48060177"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Dla zapewnienia praktycznej wykonalności zarówno zobowiązań do monitorowania, jak i współpracy z podmiotami gospodarczymi dot. ich inicjatyw w zakresie reagowania na kryzysy oraz przygotowania się do kryzysu projekt zapewnia ministrowi właściwemu ds. gospodarki, w zakresie niezbędnym do realizacji zadań ustawowych, dostęp do danych o Centralnej Ewidencji i Informacji o Działalności Gospodarczej i Punkcie Informacji dla Przedsiębiorcy oraz rejestrze REGON nieudostępnianych publicznie na podstawie przepisów regulujących prowadzenie tych rejestrów. Projekt zawiera także podstawę dla ministra właściwego ds. gospodarki do przetwarzania danych dostarczonych przez podmioty gospodarcze m.in. dot. przedmiotu i zakresu działalności podmiotów gospodarczych w dziedzinie produkcji i usług, planów produkcyjnych oraz zdolności produkcyjnych, wielkości zapasów surowców, półproduktów i wyrobów gotowych, liczby pracowników oraz ich kwalifikacji. W celu realizacji zadań dotyczących współpracy z podmiotami gospodarczymi i przekazywania informacji bezpiecznymi kanałami komunikacji projekt zakłada m.in. korzystanie z systemu teleinformatycznego, o którym mowa w ustawie o krajowym systemie </w:t>
      </w:r>
      <w:proofErr w:type="spellStart"/>
      <w:r w:rsidRPr="00D766E4">
        <w:rPr>
          <w:rFonts w:ascii="Arial" w:hAnsi="Arial" w:cs="Arial"/>
        </w:rPr>
        <w:t>cyberbezpieczeńtwa</w:t>
      </w:r>
      <w:proofErr w:type="spellEnd"/>
      <w:r w:rsidRPr="00D766E4">
        <w:rPr>
          <w:rFonts w:ascii="Arial" w:hAnsi="Arial" w:cs="Arial"/>
        </w:rPr>
        <w:t xml:space="preserve"> (system S46). W przypadku zidentyfikowania innych systemów lub baz, które umożliwią bezpieczne przekazywanie przez podmioty gospodarczej informacji, minister ds. gospodarki będzie mógł zawrzeć porozumienie w sprawie korzystania z takich systemów lub baz z uwzględnieniem wymagań dotyczących bezpieczeństwa informacji, poufności i ochrony danych.    </w:t>
      </w:r>
    </w:p>
    <w:p w14:paraId="29731FDA"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Minister właściwy do spraw gospodarki jako organ prowadzący CBŁ oraz PPK </w:t>
      </w:r>
    </w:p>
    <w:p w14:paraId="4099BE12"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W celu zapewnienia prawidłowego stosowania rozporządzenia IMERA konieczne jest dostosowanie polskich systemów zarządzania kryzysowego do ram prawnych ustanowionych tym rozporządzeniem. Znaczna część przepisów tego rozporządzenia, w tym przepisy określające obowiązki Centralnego Biura Łącznikowego, sposób wykonywania przez Centralne Biuro Łącznikowe powierzonych mu zadań, takich jak analiza incydentów pod kątem konieczności ich zgłoszenia według przewidzianych mechanizmów czy też obowiązki Pojedynczego Punktu Kontaktowego obowiązują bezpośrednio i nie wymagają rozwinięcia w prawie krajowym. Natomiast w prawie krajowym w pierwszej kolejności należy przewidzieć regulacje służące realizacji przepisów ww. rozporządzenia, które dotyczą wyznaczenia odpowiednich organów mających pełnić ww. funkcje oraz zapewnienia im możliwości działania. </w:t>
      </w:r>
    </w:p>
    <w:p w14:paraId="651D8424"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Zgodnie z rozporządzaniem IMERA Centralne Biuro Łącznikowe ma na celu zapewnić skuteczną koordynację, współpracę i wymianę informacji między organami krajowymi, a także Komisją Europejską oraz innymi państwami członkowskimi w kontekście sytuacji kryzysowych mających wpływ na funkcjonowanie łańcuchów dostaw. O ile obowiązki CBŁ mają w znacznej mierze charakter stały, tak kompetencje Pojedynczego Punktu Kontaktowego aktywują się wraz z uruchomieniem przewidzianego w rozporządzeniu IMERA trybu sytuacji nadzwyczajnej na rynku wewnętrznym. Pojedynczy Punkt Kontaktowy zapewnia obywatelom, konsumentom, podmiotom gospodarczym, pracownikom i ich przedstawicielom pomoc w występowaniu z wnioskiem o udzielenie informacji na temat krajowych ograniczeń swobodnego przepływu </w:t>
      </w:r>
      <w:r w:rsidRPr="00D766E4">
        <w:rPr>
          <w:rFonts w:ascii="Arial" w:hAnsi="Arial" w:cs="Arial"/>
        </w:rPr>
        <w:lastRenderedPageBreak/>
        <w:t xml:space="preserve">towarów, usług, osób i pracowników, wprowadzonych w trakcie obowiązywania trybu sytuacji nadzwyczajnej na rynku wewnętrznym, oraz  pomoc w przeprowadzaniu wszelkich procedur kryzysowych i formalności na poziomie krajowym, które wprowadzono z powodu uruchomienia trybu sytuacji nadzwyczajnej na rynku wewnętrznym.  </w:t>
      </w:r>
    </w:p>
    <w:p w14:paraId="38633D7C"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Projekt przewiduje zatem, że minister właściwy do spraw gospodarki będzie pełnił funkcję koordynacyjną we współpracy i wymianie informacji między organami krajowymi, KE i </w:t>
      </w:r>
      <w:proofErr w:type="spellStart"/>
      <w:r w:rsidRPr="00D766E4">
        <w:rPr>
          <w:rFonts w:ascii="Arial" w:hAnsi="Arial" w:cs="Arial"/>
        </w:rPr>
        <w:t>p.czł</w:t>
      </w:r>
      <w:proofErr w:type="spellEnd"/>
      <w:r w:rsidRPr="00D766E4">
        <w:rPr>
          <w:rFonts w:ascii="Arial" w:hAnsi="Arial" w:cs="Arial"/>
        </w:rPr>
        <w:t>. w stosunku do obsługi rozporządzenia IMERA, prowadząc Centralne Biuro Łącznikowe, a także prowadząc Pojedynczy Punkt Kontaktowy. Ulokowanie CBŁ oraz PPK przy ministrze właściwym do spraw gospodarki podyktowane jest merytoryczną właściwością tego ministra w zakresie współpracy gospodarczej z Unią Europejską. W szczególności ustawa z dnia 4 września 1997 r. o działach administracji rządowej przewiduje, że do ministra właściwego do spraw gospodarki należą sprawy takie jak współpraca z organizacjami międzynarodowymi o charakterze gospodarczym oraz prowadzenia działań w zakresie kształtowania i realizacji zasad wymiany handlowej Unii Europejskiej z krajami trzecimi, w tym w szczególności w ramach wspólnej polityki handlowej Unii Europejskiej kontroli obrotu z zagranicą towarami, technologiami i usługami o znaczeniu strategicznym dla bezpieczeństwa państwa, a także dla utrzymania międzynarodowego pokoju i bezpieczeństwa w związku z porozumieniami i zobowiązaniami międzynarodowymi, jak również wprowadzanie środków administrowania obrotem z zagranicą towarami i usługami, a także sprawy przywozu i wywozu technologii oraz udział w kształtowaniu polityki Unii Europejskiej w zakresie polityki gospodarczej. Choć zadania wynikające z rozporządzenia IMERA mają charakter nowy i będą wymagały poszerzenia zasobów kadrowych oraz dostosowania struktury organizacyjnej ministerstwa, to jednak profil kompetencyjny ministra właściwego do spraw gospodarki w sposób naturalny predestynuje go do pełnienia roli centralnego koordynatora tych zadań. Skoncentrowanie funkcji Centralnego Biura Łącznikowego oraz Pojedynczego Punktu Kontaktowego w jednym resorcie pozwoli na uniknięcie rozproszenia kompetencji, usprawni obieg informacji, zwiększy przejrzystość procedur oraz zapewni efektywną reprezentację Rzeczypospolitej Polskiej w kontaktach z instytucjami Unii Europejskiej oraz innymi państwami członkowskimi.</w:t>
      </w:r>
    </w:p>
    <w:p w14:paraId="523A80CF"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Rola Rządowego Centrum Bezpieczeństwa (RCB) </w:t>
      </w:r>
    </w:p>
    <w:p w14:paraId="296C58F9"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Projekt określa również szczególne obszary współpracy RCB z ministrem właściwym ds. gospodarki.  RCB pełni funkcję krajowego centrum zarządzania kryzysowego, odpowiada za koordynację przepływu informacji oraz współpracę w ramach krajowego i międzynarodowego systemu zarządzania kryzysowego. RCB jest też punktem kontaktowym do IPCR (Unijnego Mechanizmu Reagowania Kryzysowego UE i Grupy Roboczej UE ad hoc ds. gotowości, zdolności reagowania i odporności na przyszłe kryzysy. Do zadań RCB należy m.in. prowadzenie oceny ryzyka i zapewnienie ciągłego monitorowania zagrożeń, a także zapewnienie koordynacji polityki informacyjnej organów administracji publicznej w czasie sytuacji kryzysowej oraz zapewnienie obiegu informacji między krajowymi i zagranicznymi organami i strukturami zarządzania kryzysowego. Współpraca ministra właściwego ds. gospodarki z RCB zakłada wymianę informacji istotnych w kontekście kryzysu, uruchomienia trybu podwyższonej czujności dotyczącej rynku wewnętrznego lub trybu sytuacji nadzwyczajnej na rynku wewnętrznym, a także komunikację dotyczącą ryzyka, o której mowa w art. 9 ust. 3 lit. e rozporządzenia IMERA. Powierzenie RCB zadań wynikających z rozporządzenia IMERA dopełnia dotychczasowych kompetencji tej jednostki. Jednocześnie </w:t>
      </w:r>
      <w:r w:rsidRPr="00D766E4">
        <w:rPr>
          <w:rFonts w:ascii="Arial" w:hAnsi="Arial" w:cs="Arial"/>
        </w:rPr>
        <w:lastRenderedPageBreak/>
        <w:t xml:space="preserve">rozwiązanie to zapewnia spójność oraz wzajemne uzupełnianie się mechanizmów reagowania kryzysowego. Zapewnienie takiej spójności ma kluczowe znaczenie w sytuacji, w której w ramach unijnej architektury funkcjonuje wiele instrumentów i mechanizmów reagowania kryzysowego, zarówno sektorowych, jak i tych o charakterze przekrojowym. </w:t>
      </w:r>
    </w:p>
    <w:p w14:paraId="3C9DFEC8"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Rola Rządowej Agencji Rezerw Strategicznych (RARS) </w:t>
      </w:r>
    </w:p>
    <w:p w14:paraId="14440C96"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Rozporządzenie IMERA przewiduje specjalne mechanizmy zamówień publicznych w imieniu lub na rzecz państw członkowskich oraz wspólnych zamówień w trakcie obowiązywania trybu podwyższonej czujności lub trybu sytuacji nadzwyczajnej na rynku wewnętrznym. Na poziomie krajowym niezbędne zatem jest wyznaczenie organu, który, gdy zajdzie taka potrzeba będzie realizował wynikające z rozporządzenia zadania w zakresie zamówień publicznych, o których mowa w tytule V (art. 36-41) rozporządzenia IMERA. </w:t>
      </w:r>
    </w:p>
    <w:p w14:paraId="11A38660"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Powierzenie tych funkcji Rządowej Agencji Rezerw Strategicznych uzasadnione jest oznaczonym w art. 31 ustawy z dnia 17 grudnia 2020 r. o rezerwach strategicznych (dalej: </w:t>
      </w:r>
      <w:proofErr w:type="spellStart"/>
      <w:r w:rsidRPr="00D766E4">
        <w:rPr>
          <w:rFonts w:ascii="Arial" w:hAnsi="Arial" w:cs="Arial"/>
        </w:rPr>
        <w:t>urs</w:t>
      </w:r>
      <w:proofErr w:type="spellEnd"/>
      <w:r w:rsidRPr="00D766E4">
        <w:rPr>
          <w:rFonts w:ascii="Arial" w:hAnsi="Arial" w:cs="Arial"/>
        </w:rPr>
        <w:t xml:space="preserve">) zakresem kompetencji tej agencji. Zgodnie z art. 31 </w:t>
      </w:r>
      <w:proofErr w:type="spellStart"/>
      <w:r w:rsidRPr="00D766E4">
        <w:rPr>
          <w:rFonts w:ascii="Arial" w:hAnsi="Arial" w:cs="Arial"/>
        </w:rPr>
        <w:t>urs</w:t>
      </w:r>
      <w:proofErr w:type="spellEnd"/>
      <w:r w:rsidRPr="00D766E4">
        <w:rPr>
          <w:rFonts w:ascii="Arial" w:hAnsi="Arial" w:cs="Arial"/>
        </w:rPr>
        <w:t xml:space="preserve"> do zadań agencji należy m.in. utrzymywanie rezerw strategicznych, w tym ich przechowywanie; wykonywanie decyzji organów lub podmiotów, w tym ministra właściwego do spraw gospodarki, dotyczących zakupu, magazynowania i wydawania określonych asortymentów towarów, udostępnianie rezerw strategicznych oraz realizacja innych zadań w ramach udzielania pomocy i wsparcia podmiotom prawa międzynarodowego publicznego; opracowywanie projektu informacji o asortymencie rezerw strategicznych, ich ilości i wartości oraz ich finansowaniu, wykorzystaniu i rozmieszczeniu, sporządzanie planów, informacji, procedur i sprawozdań oraz innych dokumentów w zakresie określonym w ustawie lub w innych ustawach. Art. 31 ust. 1 pkt 13 </w:t>
      </w:r>
      <w:proofErr w:type="spellStart"/>
      <w:r w:rsidRPr="00D766E4">
        <w:rPr>
          <w:rFonts w:ascii="Arial" w:hAnsi="Arial" w:cs="Arial"/>
        </w:rPr>
        <w:t>urs</w:t>
      </w:r>
      <w:proofErr w:type="spellEnd"/>
      <w:r w:rsidRPr="00D766E4">
        <w:rPr>
          <w:rFonts w:ascii="Arial" w:hAnsi="Arial" w:cs="Arial"/>
        </w:rPr>
        <w:t xml:space="preserve"> umożliwia przy tym przypisanie Agencji nowych zadań w odrębnej ustawie. </w:t>
      </w:r>
    </w:p>
    <w:p w14:paraId="4966C6F9"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Art. 3 </w:t>
      </w:r>
      <w:proofErr w:type="spellStart"/>
      <w:r w:rsidRPr="00D766E4">
        <w:rPr>
          <w:rFonts w:ascii="Arial" w:hAnsi="Arial" w:cs="Arial"/>
        </w:rPr>
        <w:t>urs</w:t>
      </w:r>
      <w:proofErr w:type="spellEnd"/>
      <w:r w:rsidRPr="00D766E4">
        <w:rPr>
          <w:rFonts w:ascii="Arial" w:hAnsi="Arial" w:cs="Arial"/>
        </w:rPr>
        <w:t xml:space="preserve"> wskazuje, że rezerwy strategiczne tworzy się m.in. w celach złagodzenia zakłóceń w ciągłości dostaw służących funkcjonowaniu gospodarki i zaspokojeniu podstawowych potrzeb obywateli. Zgodnie z art. 4 katalog przedmiotów mogących stanowić rezerwy strategiczne pozostaje otwarty. Ogół powyższych okoliczności, w szczególności szeroki zakres ustawowych kompetencji Agencji w obszarze zabezpieczania ciągłości dostaw, gospodarowania rezerwami oraz realizacji zadań o charakterze kryzysowym, w pełni uzasadnia powierzenie Rządowej Agencji Rezerw Strategicznych dodatkowych funkcji związanych z koordynacją, realizacją i monitorowaniem zamówień publicznych o znaczeniu krytycznym i istotnym w kontekście kryzysu, a także koordynacji dystrybucji towarów lub usług istotnych w kontekście kryzysu w oparciu o ramy rozporządzenia IMERA.</w:t>
      </w:r>
    </w:p>
    <w:p w14:paraId="06EC1DD8" w14:textId="77777777" w:rsidR="00D766E4" w:rsidRPr="00D766E4" w:rsidRDefault="00D766E4" w:rsidP="00D766E4">
      <w:pPr>
        <w:spacing w:after="0" w:line="300" w:lineRule="auto"/>
        <w:jc w:val="both"/>
        <w:rPr>
          <w:rFonts w:ascii="Arial" w:hAnsi="Arial" w:cs="Arial"/>
        </w:rPr>
      </w:pPr>
      <w:r w:rsidRPr="00D766E4">
        <w:rPr>
          <w:rFonts w:ascii="Arial" w:hAnsi="Arial" w:cs="Arial"/>
        </w:rPr>
        <w:t>Zapewnienia stosowania rozporządzenia (UE) 2024/2748 oraz wdrożenie dyrektywy (UE) 2024/2749 (Omnibusy)</w:t>
      </w:r>
    </w:p>
    <w:p w14:paraId="2B41A3B6"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Ze względu na potrzebę zapewnienia stosowania Omnibus rozporządzenie (UE) 2024/2748 oraz wdrożenia Omnibus dyrektywa (UE) 2024/2749 projekt wprowadza procedury nadzwyczajne w odniesieniu do towarów istotnych w kontekście kryzysu. </w:t>
      </w:r>
    </w:p>
    <w:p w14:paraId="10325875"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Zmiany wynikające z rozporządzenia (UE) 2024/2748 oraz dyrektywy (UE) 2024/2749 wymagają dostosowania krajowego systemu oceny zgodności. Dotychczas przepisy implementujące dyrektywy nowego podejścia zostały wdrożone do polskiego porządku prawnego w sposób zróżnicowany. Część z nich została implementowana w ustawach o charakterze horyzontalnym, tj. w ustawie z dnia 30 sierpnia 2002 r. o systemie oceny zgodności oraz w ustawie z dnia 13 kwietnia 2016 r. o systemach oceny zgodności i nadzoru </w:t>
      </w:r>
      <w:r w:rsidRPr="00D766E4">
        <w:rPr>
          <w:rFonts w:ascii="Arial" w:hAnsi="Arial" w:cs="Arial"/>
        </w:rPr>
        <w:lastRenderedPageBreak/>
        <w:t>rynku, wraz z wydanymi na ich podstawie aktami wykonawczymi, które wspólnie tworzą krajowy system oceny zgodności. Pozostałe dyrektywy zostały wdrożone w ustawach sektorowych regulujących wymagania dla poszczególnych grup wyrobów, co wymaga odpowiednich zmian również w tych aktach prawnych.</w:t>
      </w:r>
    </w:p>
    <w:p w14:paraId="76784416" w14:textId="77777777" w:rsidR="00D766E4" w:rsidRPr="00D766E4" w:rsidRDefault="00D766E4" w:rsidP="00D766E4">
      <w:pPr>
        <w:spacing w:after="0" w:line="300" w:lineRule="auto"/>
        <w:jc w:val="both"/>
        <w:rPr>
          <w:rFonts w:ascii="Arial" w:hAnsi="Arial" w:cs="Arial"/>
        </w:rPr>
      </w:pPr>
      <w:r w:rsidRPr="00D766E4">
        <w:rPr>
          <w:rFonts w:ascii="Arial" w:hAnsi="Arial" w:cs="Arial"/>
        </w:rPr>
        <w:t>W związku z obowiązkiem wdrożenia do polskiego porządku prawnego procedur nadzwyczajnych dotyczących towarów istotnych w kontekście kryzysu projekt ustawy wprowadza rozwiązania umożliwiające ich stosowanie w krajowym systemie prawnym poprzez wdrożenie bezpośrednio w przedmiotowej ustawie i wprowadzenie zmian w następujących ustawach:</w:t>
      </w:r>
    </w:p>
    <w:p w14:paraId="7ED8FA0C" w14:textId="77777777" w:rsidR="00D766E4" w:rsidRPr="00D766E4" w:rsidRDefault="00D766E4" w:rsidP="00D766E4">
      <w:pPr>
        <w:pStyle w:val="Akapitzlist"/>
        <w:numPr>
          <w:ilvl w:val="1"/>
          <w:numId w:val="10"/>
        </w:numPr>
        <w:spacing w:after="0" w:line="300" w:lineRule="auto"/>
        <w:ind w:left="567" w:hanging="283"/>
        <w:jc w:val="both"/>
        <w:rPr>
          <w:rFonts w:ascii="Arial" w:hAnsi="Arial" w:cs="Arial"/>
        </w:rPr>
      </w:pPr>
      <w:r w:rsidRPr="00D766E4">
        <w:rPr>
          <w:rFonts w:ascii="Arial" w:hAnsi="Arial" w:cs="Arial"/>
        </w:rPr>
        <w:t>ustawie z dnia 30 sierpnia 2002 r. o systemie oceny zgodności;</w:t>
      </w:r>
    </w:p>
    <w:p w14:paraId="64FD9A83" w14:textId="77777777" w:rsidR="00D766E4" w:rsidRPr="00D766E4" w:rsidRDefault="00D766E4" w:rsidP="00D766E4">
      <w:pPr>
        <w:pStyle w:val="Akapitzlist"/>
        <w:numPr>
          <w:ilvl w:val="1"/>
          <w:numId w:val="10"/>
        </w:numPr>
        <w:spacing w:after="0" w:line="300" w:lineRule="auto"/>
        <w:ind w:left="567" w:hanging="283"/>
        <w:jc w:val="both"/>
        <w:rPr>
          <w:rFonts w:ascii="Arial" w:hAnsi="Arial" w:cs="Arial"/>
        </w:rPr>
      </w:pPr>
      <w:r w:rsidRPr="00D766E4">
        <w:rPr>
          <w:rFonts w:ascii="Arial" w:hAnsi="Arial" w:cs="Arial"/>
        </w:rPr>
        <w:t>ustawie z dnia 13 kwietnia 2016 r. o systemach oceny zgodności i nadzoru rynku;</w:t>
      </w:r>
    </w:p>
    <w:p w14:paraId="701D930A" w14:textId="77777777" w:rsidR="00D766E4" w:rsidRPr="00D766E4" w:rsidRDefault="00D766E4" w:rsidP="00D766E4">
      <w:pPr>
        <w:pStyle w:val="Akapitzlist"/>
        <w:numPr>
          <w:ilvl w:val="1"/>
          <w:numId w:val="10"/>
        </w:numPr>
        <w:spacing w:after="0" w:line="300" w:lineRule="auto"/>
        <w:ind w:left="567" w:hanging="283"/>
        <w:jc w:val="both"/>
        <w:rPr>
          <w:rFonts w:ascii="Arial" w:hAnsi="Arial" w:cs="Arial"/>
        </w:rPr>
      </w:pPr>
      <w:r w:rsidRPr="00D766E4">
        <w:rPr>
          <w:rFonts w:ascii="Arial" w:hAnsi="Arial" w:cs="Arial"/>
        </w:rPr>
        <w:t>ustawie z dnia 19 sierpnia 2011 r. o przewozie towarów niebezpiecznych;</w:t>
      </w:r>
    </w:p>
    <w:p w14:paraId="399EE5B6" w14:textId="77777777" w:rsidR="00D766E4" w:rsidRPr="00D766E4" w:rsidRDefault="00D766E4" w:rsidP="00D766E4">
      <w:pPr>
        <w:pStyle w:val="Akapitzlist"/>
        <w:numPr>
          <w:ilvl w:val="1"/>
          <w:numId w:val="10"/>
        </w:numPr>
        <w:spacing w:after="0" w:line="300" w:lineRule="auto"/>
        <w:ind w:left="567" w:hanging="283"/>
        <w:jc w:val="both"/>
        <w:rPr>
          <w:rFonts w:ascii="Arial" w:hAnsi="Arial" w:cs="Arial"/>
        </w:rPr>
      </w:pPr>
      <w:r w:rsidRPr="00D766E4">
        <w:rPr>
          <w:rFonts w:ascii="Arial" w:hAnsi="Arial" w:cs="Arial"/>
        </w:rPr>
        <w:t>ustawie z dnia 13 kwietnia 2007 r. o kompatybilności elektromagnetycznej.</w:t>
      </w:r>
    </w:p>
    <w:p w14:paraId="1FDF535B" w14:textId="77777777" w:rsidR="00D766E4" w:rsidRPr="00D766E4" w:rsidRDefault="00D766E4" w:rsidP="00D766E4">
      <w:pPr>
        <w:spacing w:after="0" w:line="300" w:lineRule="auto"/>
        <w:jc w:val="both"/>
        <w:rPr>
          <w:rFonts w:ascii="Arial" w:hAnsi="Arial" w:cs="Arial"/>
        </w:rPr>
      </w:pPr>
      <w:r w:rsidRPr="00D766E4">
        <w:rPr>
          <w:rFonts w:ascii="Arial" w:hAnsi="Arial" w:cs="Arial"/>
        </w:rPr>
        <w:t>Na szczególne omówienie zasługuje rozwiązanie dotyczące możliwości wydawania przez właściwe organy krajowe zezwoleń na udostępnienie na rynku lub oddanie do użytku wyrobów z odstępstwem od procedur oceny zgodności wymagających obowiązkowego udziału jednostki notyfikowanej. Jest to instytucja dotychczas nieznana polskiemu porządkowi prawnemu. Projekt przewiduje możliwość wydania decyzji administracyjnej uprawniającej producenta do wprowadzenia do obrotu lub oddania do użytku wyrobu bez przeprowadzenia procedury oceny zgodności wymagającej udziału jednostki notyfikowanej.</w:t>
      </w:r>
    </w:p>
    <w:p w14:paraId="558D9489"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Zezwolenie będzie wydawane przez ministra właściwego ze względu na przedmiot oceny zgodności, na uzasadniony wniosek producenta oraz wyłącznie w sytuacjach uzasadnionych potrzebami wynikającymi z kryzysu. Warunkiem jego wydania będzie wykazanie, że wyrób spełnia wszystkie mające zastosowanie zasadnicze wymagania dotyczące bezpieczeństwa określone w odpowiednich przepisach </w:t>
      </w:r>
      <w:proofErr w:type="spellStart"/>
      <w:r w:rsidRPr="00D766E4">
        <w:rPr>
          <w:rFonts w:ascii="Arial" w:hAnsi="Arial" w:cs="Arial"/>
        </w:rPr>
        <w:t>harmonizacyjnych</w:t>
      </w:r>
      <w:proofErr w:type="spellEnd"/>
      <w:r w:rsidRPr="00D766E4">
        <w:rPr>
          <w:rFonts w:ascii="Arial" w:hAnsi="Arial" w:cs="Arial"/>
        </w:rPr>
        <w:t xml:space="preserve"> Unii Europejskiej, zgodnie z procedurami wskazanymi w treści decyzji.</w:t>
      </w:r>
    </w:p>
    <w:p w14:paraId="5AD1FFC1" w14:textId="33883ABD" w:rsidR="00D766E4" w:rsidRPr="00D766E4" w:rsidRDefault="00D766E4" w:rsidP="00D766E4">
      <w:pPr>
        <w:spacing w:after="0" w:line="300" w:lineRule="auto"/>
        <w:jc w:val="both"/>
        <w:rPr>
          <w:rFonts w:ascii="Arial" w:hAnsi="Arial" w:cs="Arial"/>
        </w:rPr>
      </w:pPr>
      <w:r w:rsidRPr="00D766E4">
        <w:rPr>
          <w:rFonts w:ascii="Arial" w:hAnsi="Arial" w:cs="Arial"/>
        </w:rPr>
        <w:t>Przyjęcie takiego rozwiązania umożliwi sprawne stosowanie procedur nadzwyczajnych w sytuacjach kryzysowych, gdy konieczne będzie szybkie zapewnienie dostępności wyrobów o kluczowym znaczeniu dla ochrony zdrowia, bezpieczeństwa lub innych istotnych interesów publicznych. Jednocześnie zachowane zostaną gwarancje zapewniające odpowiedni poziom bezpieczeństwa wyrobów wprowadzanych do obrotu lub oddawanych do użytku.</w:t>
      </w:r>
    </w:p>
    <w:p w14:paraId="68D2109F" w14:textId="77777777" w:rsidR="00D766E4" w:rsidRDefault="00D766E4" w:rsidP="00D766E4">
      <w:pPr>
        <w:spacing w:after="0" w:line="300" w:lineRule="auto"/>
        <w:jc w:val="both"/>
        <w:rPr>
          <w:rFonts w:ascii="Arial" w:hAnsi="Arial" w:cs="Arial"/>
        </w:rPr>
      </w:pPr>
    </w:p>
    <w:p w14:paraId="7ED9086D" w14:textId="77777777" w:rsidR="00D766E4" w:rsidRPr="00D766E4" w:rsidRDefault="00D766E4" w:rsidP="00D766E4">
      <w:pPr>
        <w:spacing w:after="0" w:line="300" w:lineRule="auto"/>
        <w:jc w:val="both"/>
        <w:rPr>
          <w:rFonts w:ascii="Arial" w:hAnsi="Arial" w:cs="Arial"/>
        </w:rPr>
      </w:pPr>
      <w:r w:rsidRPr="00D766E4">
        <w:rPr>
          <w:rFonts w:ascii="Arial" w:hAnsi="Arial" w:cs="Arial"/>
        </w:rPr>
        <w:t xml:space="preserve">Przedmiotowy projekt aktu prawnego wraz Tabelami zgodności (szt. 3), Uzasadnieniem oraz Oceną Skutków Regulacji dostępny jest na stronach Rządowego Centrum Legislacji pod adresem: </w:t>
      </w:r>
    </w:p>
    <w:p w14:paraId="53F3846C" w14:textId="5F1ACBD2" w:rsidR="00D766E4" w:rsidRDefault="00D766E4" w:rsidP="00D766E4">
      <w:pPr>
        <w:spacing w:after="0" w:line="300" w:lineRule="auto"/>
        <w:jc w:val="both"/>
        <w:rPr>
          <w:rFonts w:ascii="Arial" w:hAnsi="Arial" w:cs="Arial"/>
        </w:rPr>
      </w:pPr>
      <w:hyperlink r:id="rId6" w:history="1">
        <w:r w:rsidRPr="007B50F9">
          <w:rPr>
            <w:rStyle w:val="Hipercze"/>
            <w:rFonts w:ascii="Arial" w:hAnsi="Arial" w:cs="Arial"/>
          </w:rPr>
          <w:t>https://legislacja.rcl.gov.pl/projekt/124</w:t>
        </w:r>
        <w:r w:rsidRPr="007B50F9">
          <w:rPr>
            <w:rStyle w:val="Hipercze"/>
            <w:rFonts w:ascii="Arial" w:hAnsi="Arial" w:cs="Arial"/>
          </w:rPr>
          <w:t>1</w:t>
        </w:r>
        <w:r w:rsidRPr="007B50F9">
          <w:rPr>
            <w:rStyle w:val="Hipercze"/>
            <w:rFonts w:ascii="Arial" w:hAnsi="Arial" w:cs="Arial"/>
          </w:rPr>
          <w:t>3353/katalog/13220087#13220087</w:t>
        </w:r>
      </w:hyperlink>
      <w:r>
        <w:rPr>
          <w:rFonts w:ascii="Arial" w:hAnsi="Arial" w:cs="Arial"/>
        </w:rPr>
        <w:t xml:space="preserve"> </w:t>
      </w:r>
    </w:p>
    <w:p w14:paraId="5021EB67" w14:textId="77777777" w:rsidR="00D766E4" w:rsidRDefault="00D766E4" w:rsidP="00D766E4">
      <w:pPr>
        <w:spacing w:after="0" w:line="300" w:lineRule="auto"/>
        <w:jc w:val="both"/>
        <w:rPr>
          <w:rFonts w:ascii="Arial" w:hAnsi="Arial" w:cs="Arial"/>
        </w:rPr>
      </w:pPr>
    </w:p>
    <w:p w14:paraId="74F713BE" w14:textId="5C234A97" w:rsidR="00D766E4" w:rsidRDefault="003A2EB0" w:rsidP="00D766E4">
      <w:pPr>
        <w:spacing w:after="0" w:line="300" w:lineRule="auto"/>
        <w:jc w:val="both"/>
        <w:rPr>
          <w:rFonts w:ascii="Arial" w:hAnsi="Arial" w:cs="Arial"/>
        </w:rPr>
      </w:pPr>
      <w:r w:rsidRPr="003A2EB0">
        <w:rPr>
          <w:rFonts w:ascii="Arial" w:hAnsi="Arial" w:cs="Arial"/>
        </w:rPr>
        <w:t>Projekt jest obecnie jednocześnie na etapie uzgodnień, konsultacji publicznych i opiniowania.</w:t>
      </w:r>
    </w:p>
    <w:p w14:paraId="73E324B3" w14:textId="77777777" w:rsidR="00D766E4" w:rsidRPr="00D766E4" w:rsidRDefault="00D766E4" w:rsidP="00D766E4">
      <w:pPr>
        <w:spacing w:after="0" w:line="300" w:lineRule="auto"/>
        <w:jc w:val="both"/>
        <w:rPr>
          <w:rFonts w:ascii="Arial" w:hAnsi="Arial" w:cs="Arial"/>
        </w:rPr>
      </w:pPr>
    </w:p>
    <w:p w14:paraId="75CC4666" w14:textId="3999381E" w:rsidR="00E11A53" w:rsidRPr="003A2EB0" w:rsidRDefault="003A2EB0" w:rsidP="00E11A53">
      <w:pPr>
        <w:pStyle w:val="Akapitzlist"/>
        <w:numPr>
          <w:ilvl w:val="0"/>
          <w:numId w:val="3"/>
        </w:numPr>
        <w:spacing w:after="0" w:line="300" w:lineRule="auto"/>
        <w:jc w:val="both"/>
        <w:rPr>
          <w:rFonts w:ascii="Arial" w:hAnsi="Arial" w:cs="Arial"/>
          <w:b/>
          <w:bCs/>
          <w:u w:val="single"/>
        </w:rPr>
      </w:pPr>
      <w:r w:rsidRPr="003A2EB0">
        <w:rPr>
          <w:rFonts w:ascii="Arial" w:hAnsi="Arial" w:cs="Arial"/>
          <w:b/>
          <w:bCs/>
          <w:u w:val="single"/>
        </w:rPr>
        <w:t>P</w:t>
      </w:r>
      <w:r w:rsidRPr="003A2EB0">
        <w:rPr>
          <w:rFonts w:ascii="Arial" w:hAnsi="Arial" w:cs="Arial"/>
          <w:b/>
          <w:bCs/>
          <w:u w:val="single"/>
        </w:rPr>
        <w:t>rojekt ustawy o zmianie ustawy o systemie monitorowania drogowego i kolejowego przewozu towarów oraz obrotu paliwami opałowymi oraz niektórych innych ustaw (UD437).</w:t>
      </w:r>
    </w:p>
    <w:p w14:paraId="38B5AEDE" w14:textId="77777777" w:rsidR="00E11A53" w:rsidRPr="003A2EB0" w:rsidRDefault="00E11A53" w:rsidP="003A2EB0">
      <w:pPr>
        <w:spacing w:after="0" w:line="300" w:lineRule="auto"/>
        <w:jc w:val="both"/>
        <w:rPr>
          <w:rFonts w:ascii="Arial" w:hAnsi="Arial" w:cs="Arial"/>
        </w:rPr>
      </w:pPr>
    </w:p>
    <w:p w14:paraId="2BB04144" w14:textId="77777777" w:rsidR="003A2EB0" w:rsidRPr="003A2EB0" w:rsidRDefault="003A2EB0" w:rsidP="003A2EB0">
      <w:pPr>
        <w:spacing w:after="0" w:line="300" w:lineRule="auto"/>
        <w:jc w:val="both"/>
        <w:rPr>
          <w:rFonts w:ascii="Arial" w:hAnsi="Arial" w:cs="Arial"/>
        </w:rPr>
      </w:pPr>
      <w:r w:rsidRPr="003A2EB0">
        <w:rPr>
          <w:rFonts w:ascii="Arial" w:hAnsi="Arial" w:cs="Arial"/>
        </w:rPr>
        <w:lastRenderedPageBreak/>
        <w:t xml:space="preserve">Potrzeba wprowadzenia nowych regulacji wynika z dążenia do dalszego uszczelnienia systemu podatkowego, a tym samym zwiększenia należnych wpływów do budżetu państwa w zakresie podatku od towarów i usług. </w:t>
      </w:r>
    </w:p>
    <w:p w14:paraId="23C4945D"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Zmiany w ustawie z dnia 9 marca 2017 r. o systemie monitorowania drogowego i kolejowego przewozu towarów oraz obrotu paliwami opałowymi (Dz. U. z 2024 r. poz. 1218), dalej jako „ustawa SENT”, oraz w ustawie z dnia 16 listopada 2016 r. o Krajowej Administracji Skarbowej (Dz. U. z 2025 r. poz. 1131, z </w:t>
      </w:r>
      <w:proofErr w:type="spellStart"/>
      <w:r w:rsidRPr="003A2EB0">
        <w:rPr>
          <w:rFonts w:ascii="Arial" w:hAnsi="Arial" w:cs="Arial"/>
        </w:rPr>
        <w:t>późn</w:t>
      </w:r>
      <w:proofErr w:type="spellEnd"/>
      <w:r w:rsidRPr="003A2EB0">
        <w:rPr>
          <w:rFonts w:ascii="Arial" w:hAnsi="Arial" w:cs="Arial"/>
        </w:rPr>
        <w:t xml:space="preserve">. zm.), dalej jako „ustawa o KAS”, mają na celu usprawnienie procesu kontroli przewożonych towarów przy wykorzystaniu funkcjonujących już rozwiązań legislacyjnych i narzędzi informatycznych (system monitorowania przewozu i obrotu – SENT, dalej jako „system SENT”). Według Stowarzyszenia Producentów Betonu Towarowego w Polsce, branża betonu towarowego w Polsce obejmuje 600 producentów betonu towarowego i 1100 wytwórni betonu towarowego, oraz dysponuje 3150 betonomieszarkami. </w:t>
      </w:r>
    </w:p>
    <w:p w14:paraId="477C7246"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Na podstawie danych zgromadzonych w systemach Krajowej Administracji Skarbowej (KAS) (pliki JPK_VAT) oraz danych branżowych obejmujących funkcjonowanie podmiotów zajmujących się produkcją/sprzedażą betonu, analiza ryzyka wskazuje na występowanie szarej strefy w tym obszarze. Przeprowadzone w 2025 r. przez organy KAS kontrole celno-skarbowe potwierdziły istnienie szarej strefy w branży betonu towarowego (tj. gotowej mieszanki budowlanej produkowanej w zakładzie betoniarskim dostarczanej na budowę w betonomieszarkach) w Polsce.  </w:t>
      </w:r>
    </w:p>
    <w:p w14:paraId="0C38D401"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Jak wynika z raportu „Rynek betonu towarowego w Polsce 2024–2029”, w 2022 r. całkowite przychody 200 największych producentów wyniosły ponad 15 mld zł, z czego 42% przypadło na sprzedaż w segmencie betonu towarowego. Oznacza to wartość sprzedaży przez te 200 podmiotów na poziomie blisko 6,4 mld zł. Po doszacowaniu do pełnej zbiorowości producentów wartość rynku betonu towarowego wg danych firmy badawczej </w:t>
      </w:r>
      <w:proofErr w:type="spellStart"/>
      <w:r w:rsidRPr="003A2EB0">
        <w:rPr>
          <w:rFonts w:ascii="Arial" w:hAnsi="Arial" w:cs="Arial"/>
        </w:rPr>
        <w:t>Spectis</w:t>
      </w:r>
      <w:proofErr w:type="spellEnd"/>
      <w:r w:rsidRPr="003A2EB0">
        <w:rPr>
          <w:rFonts w:ascii="Arial" w:hAnsi="Arial" w:cs="Arial"/>
        </w:rPr>
        <w:t xml:space="preserve">, to blisko 7,5 mld zł. Jak widać, skoro udział betonu towarowego w całej branży stanowi 42% (tj. blisko 7,5 mld zł wg </w:t>
      </w:r>
      <w:proofErr w:type="spellStart"/>
      <w:r w:rsidRPr="003A2EB0">
        <w:rPr>
          <w:rFonts w:ascii="Arial" w:hAnsi="Arial" w:cs="Arial"/>
        </w:rPr>
        <w:t>Spectis</w:t>
      </w:r>
      <w:proofErr w:type="spellEnd"/>
      <w:r w:rsidRPr="003A2EB0">
        <w:rPr>
          <w:rFonts w:ascii="Arial" w:hAnsi="Arial" w:cs="Arial"/>
        </w:rPr>
        <w:t xml:space="preserve">), można oszacować, że w ujęciu kwotowym wartość całego rynku betonu to niemal 18 mld zł. </w:t>
      </w:r>
    </w:p>
    <w:p w14:paraId="7B29E567"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Jedna z analiz danych za 2024 rok, przeprowadzona przez KAS wskazuje, że tylko wśród podmiotów prowadzących działalność gospodarczą w zakresie produkcji masy betonowej prefabrykowanej (betonu towarowego), wstępnie ustalona wartość zaniżenia podstawy opodatkowania podatku VAT wyniosła łącznie ponad 24 mln zł, a szacowana wartość zaniżenia podatku należnego wynosi ok. 4,5 mln zł. Natomiast analiza plików JPK_VAT wskazuje, że łączny roczny obrót podmiotów z całej branży liczącej wg PKD 435 podatników i sprzedaż betonu wytwarzanego na potrzeby produkcji różnego typu wyrobów betonowych to około 7,5 mld zł. Zatem wysokość niezarejestrowanej sprzedaży betonu w całej branży może przekraczać 10 mld zł (niemal 18 mld zł cały rynek betonu – (minus) blisko 7,5 mld zł sprzedaż zarejestrowana w JPK ~ 10 mld zł). Luka VAT (23%) przewyższa 2,3 mld zł (10 mld zł x 23%), z czego na beton towarowy (42% rynku) przypada blisko 1 mld zł. Tym samym luka podatkowa w podatku od towarów i usług oraz podatkach dochodowych jest szacowana na około 1,225 mld zł. Również Związek Przedsiębiorców i Pracodawców w raporcie „Szara Strefa na rynku betonu towarowego w Polsce” oszacował szarą strefę na rynku betonu na ok. 1 mld zł rocznie. </w:t>
      </w:r>
    </w:p>
    <w:p w14:paraId="1152A5B8"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Jak już wskazano, przeprowadzone w 2025 r. przez organy KAS kontrole celno-skarbowe potwierdziły istnienie szarej strefy w branży betonu towarowego w Polsce. W związku z tym konieczne jest podjęcie działań zmierzających do ograniczenia niepożądanych praktyk, co w </w:t>
      </w:r>
      <w:r w:rsidRPr="003A2EB0">
        <w:rPr>
          <w:rFonts w:ascii="Arial" w:hAnsi="Arial" w:cs="Arial"/>
        </w:rPr>
        <w:lastRenderedPageBreak/>
        <w:t xml:space="preserve">konsekwencji ma się przyczynić do zwiększenia wpływów do budżetu państwa w podatku od towarów i usług oraz w podatkach dochodowych. Objęcie systemem monitorowania przewozu betonu towarowego, będzie też pośrednio pozytywnie oddziaływać na pozostałą część tego segmentu gospodarki, tj. na producentów wytwarzających różnego typu wyroby betonowe.  </w:t>
      </w:r>
    </w:p>
    <w:p w14:paraId="2AAC3CB7" w14:textId="77777777" w:rsidR="003A2EB0" w:rsidRPr="003A2EB0" w:rsidRDefault="003A2EB0" w:rsidP="003A2EB0">
      <w:pPr>
        <w:spacing w:after="0" w:line="300" w:lineRule="auto"/>
        <w:jc w:val="both"/>
        <w:rPr>
          <w:rFonts w:ascii="Arial" w:hAnsi="Arial" w:cs="Arial"/>
        </w:rPr>
      </w:pPr>
      <w:r w:rsidRPr="003A2EB0">
        <w:rPr>
          <w:rFonts w:ascii="Arial" w:hAnsi="Arial" w:cs="Arial"/>
        </w:rPr>
        <w:t>Zaproponowane rozwiązania nie będą obejmować gotowych wyrobów betonowych, ani też innych mieszanek na bazie spoiw mineralnych w postaci masy gotowej do wylania, rozsypania, wbudowania lub zastosowania, w szczególności zapraw towarowych, podkładów podłogowych, podsypki cementowo-piaskowej, mieszanki CBGM (potocznie zwane wylewką, jastrychem, szlichtą).</w:t>
      </w:r>
    </w:p>
    <w:p w14:paraId="2CA20D27"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W wyniku przeprowadzonych w Ministerstwie Finansów prac ewaluacyjnych dotyczących funkcjonowania przepisów ustawy SENT w zakresie administracyjnych kar pieniężnych (ocena skuteczności, proporcjonalności oraz adekwatności do realiów obecnego obrotu gospodarczego i katalogu towarów objętych tym systemem), zostaną zaproponowane zmiany w regulacji dotyczącej miarkowania kar pieniężnych za naruszenie obowiązków wynikających z systemu SENT. </w:t>
      </w:r>
    </w:p>
    <w:p w14:paraId="5FDF4E62"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Mając na względzie problematykę bezpieczeństwa ekologicznego i konieczność przeciwdziałania nielegalnym działaniom podmiotów gospodarczych, a także bezpieczeństwo rynku rolnego systemem SENT w kolejnych latach jego funkcjonowania zostały objęte wybrane produkty rolne oraz niektóre odpady. Zakres towarów objętych systemem monitorowania przewozu w pewnej części określa ustawa, zaś dla pozostałej części podstawą ich objęcia systemem SENT jest aktualnie rozporządzenie Ministra Finansów z dnia 25 kwietnia 2022 r. w sprawie towarów, których przewóz jest objęty systemem monitorowania drogowego i kolejowego przewozu towarów oraz obrotu paliwami opałowymi (Dz. U. z 2024 r. poz. 1157, z </w:t>
      </w:r>
      <w:proofErr w:type="spellStart"/>
      <w:r w:rsidRPr="003A2EB0">
        <w:rPr>
          <w:rFonts w:ascii="Arial" w:hAnsi="Arial" w:cs="Arial"/>
        </w:rPr>
        <w:t>późn</w:t>
      </w:r>
      <w:proofErr w:type="spellEnd"/>
      <w:r w:rsidRPr="003A2EB0">
        <w:rPr>
          <w:rFonts w:ascii="Arial" w:hAnsi="Arial" w:cs="Arial"/>
        </w:rPr>
        <w:t xml:space="preserve">. zm.). W pierwszej grupie towarów wymienionych w ww. rozporządzeniu mieści się m.in. przewóz mięsa z drobiu, jaj, owoców miękkich, pszenicy i w tym zakresie właściwy jest minister właściwy do spraw rolnictwa. W drugiej grupie są odpady w rozumieniu ustawy z dnia 14 grudnia 2012 r. o odpadach (Dz. U. z 2023 r. poz. 1587, z </w:t>
      </w:r>
      <w:proofErr w:type="spellStart"/>
      <w:r w:rsidRPr="003A2EB0">
        <w:rPr>
          <w:rFonts w:ascii="Arial" w:hAnsi="Arial" w:cs="Arial"/>
        </w:rPr>
        <w:t>późn</w:t>
      </w:r>
      <w:proofErr w:type="spellEnd"/>
      <w:r w:rsidRPr="003A2EB0">
        <w:rPr>
          <w:rFonts w:ascii="Arial" w:hAnsi="Arial" w:cs="Arial"/>
        </w:rPr>
        <w:t xml:space="preserve">. zm.), które podlegają przepisom rozporządzenia Parlamentu Europejskiego i Rady (UE) nr 2024/1157 z dnia 11 kwietnia 2024 r. w sprawie przemieszczania odpadów, zmiany rozporządzeń (UE) nr 1257/2013 i (UE) 2020/1056 oraz uchylenia rozporządzenia (WE) nr 1013/2006 (Dz. Urz. UE L 2024/1157 z 30.04.2024) oraz niektóre inne odpady, np. odpady farb i lakierów, zmywacze do farb lub lakierów, odpadowe kleje. Przyjęte rozwiązanie pozwala na monitorowanie przewozów tych towarów i podejmowanie skutecznych działań w celu zwalczania nieprawidłowości we wskazanych obszarach. Ocenia się, że podejmowane działania pozytywnie wpływają na ochronę bezpieczeństwo całego rynku rolnego oraz ochronę środowiska. Aktualnie przekazywanie informacji do właściwych organów zajmujących się nadzorem nad rynkiem rolnym </w:t>
      </w:r>
    </w:p>
    <w:p w14:paraId="14CEEECE"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i zwalczaniem przestępczości środowiskowej jest poprzedzone manualnym, czasochłonnym przygotowaniem danych o przewozach tych towarów w cyklach miesięcznych lub na wniosek. To wydłuża i utrudnia podejmowanie kluczowych decyzji w tych wrażliwych dla państwa i społeczeństwa obszarach. Ponieważ system SENT jest przygotowany do udostępniania danych w drodze transmisji z wykorzystaniem interfejsu programowania aplikacji tzw. API, stąd istnieje potrzeba zmian w zakresie przetwarzania danych w SENT i ich analizy oraz włączenia organów administracji publicznej właściwych w zakresie rolnictwa (Inspekcji Jakości </w:t>
      </w:r>
      <w:r w:rsidRPr="003A2EB0">
        <w:rPr>
          <w:rFonts w:ascii="Arial" w:hAnsi="Arial" w:cs="Arial"/>
        </w:rPr>
        <w:lastRenderedPageBreak/>
        <w:t xml:space="preserve">Handlowej Artykułów Rolno-Spożywczych) oraz klimatu (Inspekcja Ochrony Środowiska) do katalogu organów uprawnionych do korzystania z danych gromadzonych w rejestrze SENT. Zwiększy to możliwości analityczne tych organów oraz skuteczność wykonywania kontroli przewozów odpadów i produktów rolnych w czasie rzeczywistym. Z uwagi na zachowanie odpowiedniego poziomu bezpieczeństwa danych przetwarzanych w systemie, dostęp do danych z rejestru SENT za pomocą telekomunikacyjnego urządzenia końcowego będzie możliwy tylko dla KAS oraz uprawnionych do kontroli przewozu towarów, na podstawie ustawy SENT Policji, Straży Granicznej i Inspekcji Transportu Drogowego. Główny Inspektor Farmaceutyczny, w zakresie niezbędnym do </w:t>
      </w:r>
    </w:p>
    <w:p w14:paraId="61AC0936"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realizacji jego ustawowych zadań, będzie miał możliwość nieodpłatnego dostępu do danych z rejestru SENT na wniosek. </w:t>
      </w:r>
    </w:p>
    <w:p w14:paraId="1FEA352F"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W związku z możliwością stosowania zamknięć urzędowych wykorzystujących technologię pozycjonowania satelitarnego i transmisji danych, zwanych dalej „plombami elektronicznymi”, do celów kontroli celno-skarbowych, konieczna jest zmiana ustawy o KAS w tym zakresie. Możliwość wykorzystania plomb elektronicznych zapewni skuteczny dozór celny oraz zabezpieczenie przed dostępem osób nieuprawnionych do środków transportu, kontenerów, pojemników i naczyń, w których są przewożone, przechowywane lub magazynowane towary, wyroby lub urządzenia podlegające kontroli, a nowe przypisy kompleksowo uregulują kwestie dotyczące danych z plomb elektronicznych, gromadzone w rejestrze zamknięć urzędowych. Ponadto we wnioskach de lege </w:t>
      </w:r>
      <w:proofErr w:type="spellStart"/>
      <w:r w:rsidRPr="003A2EB0">
        <w:rPr>
          <w:rFonts w:ascii="Arial" w:hAnsi="Arial" w:cs="Arial"/>
        </w:rPr>
        <w:t>ferenda</w:t>
      </w:r>
      <w:proofErr w:type="spellEnd"/>
      <w:r w:rsidRPr="003A2EB0">
        <w:rPr>
          <w:rFonts w:ascii="Arial" w:hAnsi="Arial" w:cs="Arial"/>
        </w:rPr>
        <w:t xml:space="preserve"> kontroli NIK „System monitorowania przewozu towarów akcyzowych” (KBF.430.014.2020) wskazana została potrzeba uwzględnienia w ustawie o KAS zadań naczelnika urzędu celno-skarbowego realizowanych w ustawie SENT.</w:t>
      </w:r>
    </w:p>
    <w:p w14:paraId="77071A5F" w14:textId="77777777" w:rsidR="003A2EB0" w:rsidRPr="003A2EB0" w:rsidRDefault="003A2EB0" w:rsidP="003A2EB0">
      <w:pPr>
        <w:spacing w:after="0" w:line="300" w:lineRule="auto"/>
        <w:jc w:val="both"/>
        <w:rPr>
          <w:rFonts w:ascii="Arial" w:hAnsi="Arial" w:cs="Arial"/>
        </w:rPr>
      </w:pPr>
      <w:r w:rsidRPr="003A2EB0">
        <w:rPr>
          <w:rFonts w:ascii="Arial" w:hAnsi="Arial" w:cs="Arial"/>
        </w:rPr>
        <w:t>Dla zapewnienia uszczelnienia systemu podatkowego w obszarze obrotu betonem towarowym zaproponowano objęcie systemem SENT przewozu tego betonu w betonomieszarkach łącznie z pompo-</w:t>
      </w:r>
      <w:proofErr w:type="spellStart"/>
      <w:r w:rsidRPr="003A2EB0">
        <w:rPr>
          <w:rFonts w:ascii="Arial" w:hAnsi="Arial" w:cs="Arial"/>
        </w:rPr>
        <w:t>betomieszarkami</w:t>
      </w:r>
      <w:proofErr w:type="spellEnd"/>
      <w:r w:rsidRPr="003A2EB0">
        <w:rPr>
          <w:rFonts w:ascii="Arial" w:hAnsi="Arial" w:cs="Arial"/>
        </w:rPr>
        <w:t xml:space="preserve">, do wszystkich podmiotów odbierających, w tym również do osób fizycznych nieprowadzących działalności gospodarczej. Wprowadzenie do porządku prawnego projektowanej regulacji powinno w znacznym stopniu przyczynić się do zredukowania nieuczciwych praktyk stosowanych przez podmioty funkcjonujące w obszarze obrotu betonem towarowym. Uwzględnienie podmiotów nieprowadzących działalności gospodarczej w systemie SENT ma na celu uszczelnienie systemu podatkowego w zakresie obrotu tym towarem. Analiza ryzyka wskazuje, że znaczna część uszczupleń wiąże się z dostawami betonu towarowego przez </w:t>
      </w:r>
    </w:p>
    <w:p w14:paraId="668BA798"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krajowych producentów betonu do prywatnych inwestorów, tj. osób fizycznych nieprowadzących działalności gospodarczej. Jednakże biorąc pod uwagę, że czynności związane z obsługą zgłoszeń SENT wymagają dostępu do Internetu, a także umiejętności w wypełnianiu elektronicznych formularzy, oraz mając na uwadze możliwe trudności w elektronicznym potwierdzaniu odbioru betonu towarowego („zamykaniu” zgłoszeń SENT) przez osoby fizyczne nieprowadzące działalności gospodarczej, w takich przypadkach potwierdzenia odbioru tego towaru będzie dokonywał podmiot wysyłający (dostawca towaru). W przypadku przewozu betonu z innego państwa członkowskiego UE do osoby fizycznej nieprowadzącej działalności gospodarczej, zgłoszenie przewozu do systemu SENT nie będzie wymagane. </w:t>
      </w:r>
    </w:p>
    <w:p w14:paraId="16A96071"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Ze względu na właściwości betonu towarowego, specyfikę jego przewozu oraz sposób wykorzystania, dla przewozu tego towaru zaproponowano zwolnienie z obowiązku </w:t>
      </w:r>
      <w:r w:rsidRPr="003A2EB0">
        <w:rPr>
          <w:rFonts w:ascii="Arial" w:hAnsi="Arial" w:cs="Arial"/>
        </w:rPr>
        <w:lastRenderedPageBreak/>
        <w:t xml:space="preserve">przekazywania danych </w:t>
      </w:r>
      <w:proofErr w:type="spellStart"/>
      <w:r w:rsidRPr="003A2EB0">
        <w:rPr>
          <w:rFonts w:ascii="Arial" w:hAnsi="Arial" w:cs="Arial"/>
        </w:rPr>
        <w:t>geolokalizacyjnych</w:t>
      </w:r>
      <w:proofErr w:type="spellEnd"/>
      <w:r w:rsidRPr="003A2EB0">
        <w:rPr>
          <w:rFonts w:ascii="Arial" w:hAnsi="Arial" w:cs="Arial"/>
        </w:rPr>
        <w:t xml:space="preserve"> środków transportu przewożących ten beton (betonomieszarek). Dodatkowo, będzie istniała możliwość alternatywnego zgłaszania przewozów w przypadku zawarcia umowy (kontraktu) pomiędzy podmiotami gospodarczymi na dostawę betonu towarowego przekraczającą 100 m3. Próg 100 m3 betonu towarowego, powyżej którego będzie można dokonywać takiego alternatywnego zgłoszenia, został przyjęty z uwagi na rozmiar budowanych obiektów przy dostawach tego towaru między przedsiębiorcami, np. mostów. Podmiot wysyłający zamiast wysyłać zgłoszenia pojedyncze na przejazd każdej z betonomieszarek z betonem towarowym na budowę, będzie mógł, przed rozpoczęciem pierwszego przewozu tego towaru, przesłać do rejestru jedno zgłoszenie kontraktowe obejmujące realizację całej umowy. </w:t>
      </w:r>
    </w:p>
    <w:p w14:paraId="7AE589F1"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W nowelizacji przepisów ustawy SENT zostały zaproponowane zmiany w zakresie administracyjnych kar pieniężnych za naruszenie obowiązków wynikających z systemu SENT będące wynikiem ewaluacji, obowiązujących od 2017 roku przepisów: </w:t>
      </w:r>
    </w:p>
    <w:p w14:paraId="52E9D9E9" w14:textId="77777777" w:rsidR="003A2EB0" w:rsidRPr="003A2EB0" w:rsidRDefault="003A2EB0" w:rsidP="003A2EB0">
      <w:pPr>
        <w:pStyle w:val="Akapitzlist"/>
        <w:numPr>
          <w:ilvl w:val="0"/>
          <w:numId w:val="11"/>
        </w:numPr>
        <w:spacing w:after="0" w:line="300" w:lineRule="auto"/>
        <w:ind w:left="567" w:hanging="283"/>
        <w:jc w:val="both"/>
        <w:rPr>
          <w:rFonts w:ascii="Arial" w:hAnsi="Arial" w:cs="Arial"/>
        </w:rPr>
      </w:pPr>
      <w:r w:rsidRPr="003A2EB0">
        <w:rPr>
          <w:rFonts w:ascii="Arial" w:hAnsi="Arial" w:cs="Arial"/>
        </w:rPr>
        <w:t xml:space="preserve">wobec niektórych obowiązujących dzisiaj wysokości kar, określonych w sposób „sztywny”, kary te zostały zaproponowane jako maksymalne, czyli elastyczne; </w:t>
      </w:r>
    </w:p>
    <w:p w14:paraId="7059A71E" w14:textId="77777777" w:rsidR="003A2EB0" w:rsidRPr="003A2EB0" w:rsidRDefault="003A2EB0" w:rsidP="003A2EB0">
      <w:pPr>
        <w:pStyle w:val="Akapitzlist"/>
        <w:numPr>
          <w:ilvl w:val="0"/>
          <w:numId w:val="11"/>
        </w:numPr>
        <w:spacing w:after="0" w:line="300" w:lineRule="auto"/>
        <w:ind w:left="567" w:hanging="283"/>
        <w:jc w:val="both"/>
        <w:rPr>
          <w:rFonts w:ascii="Arial" w:hAnsi="Arial" w:cs="Arial"/>
        </w:rPr>
      </w:pPr>
      <w:r w:rsidRPr="003A2EB0">
        <w:rPr>
          <w:rFonts w:ascii="Arial" w:hAnsi="Arial" w:cs="Arial"/>
        </w:rPr>
        <w:t xml:space="preserve">w przypadku popełnienia błędów formalnych w zgłoszeniu będących wynikiem oczywistej omyłki zaproponowane zostały przepisy dotyczące odstąpienia od nałożenia kary pieniężnej i poprzestanie na pouczeniu; </w:t>
      </w:r>
    </w:p>
    <w:p w14:paraId="3A6D242F" w14:textId="77777777" w:rsidR="003A2EB0" w:rsidRPr="003A2EB0" w:rsidRDefault="003A2EB0" w:rsidP="003A2EB0">
      <w:pPr>
        <w:pStyle w:val="Akapitzlist"/>
        <w:numPr>
          <w:ilvl w:val="0"/>
          <w:numId w:val="11"/>
        </w:numPr>
        <w:spacing w:after="0" w:line="300" w:lineRule="auto"/>
        <w:ind w:left="567" w:hanging="283"/>
        <w:jc w:val="both"/>
        <w:rPr>
          <w:rFonts w:ascii="Arial" w:hAnsi="Arial" w:cs="Arial"/>
        </w:rPr>
      </w:pPr>
      <w:r w:rsidRPr="003A2EB0">
        <w:rPr>
          <w:rFonts w:ascii="Arial" w:hAnsi="Arial" w:cs="Arial"/>
        </w:rPr>
        <w:t xml:space="preserve">zostały też zaproponowane przesłanki miarkowania kar tam, gdzie nie będą miały one charakteru „sztywnego”; </w:t>
      </w:r>
    </w:p>
    <w:p w14:paraId="0811E356" w14:textId="77777777" w:rsidR="003A2EB0" w:rsidRPr="003A2EB0" w:rsidRDefault="003A2EB0" w:rsidP="003A2EB0">
      <w:pPr>
        <w:pStyle w:val="Akapitzlist"/>
        <w:numPr>
          <w:ilvl w:val="0"/>
          <w:numId w:val="11"/>
        </w:numPr>
        <w:spacing w:after="0" w:line="300" w:lineRule="auto"/>
        <w:ind w:left="567" w:hanging="283"/>
        <w:jc w:val="both"/>
        <w:rPr>
          <w:rFonts w:ascii="Arial" w:hAnsi="Arial" w:cs="Arial"/>
        </w:rPr>
      </w:pPr>
      <w:r w:rsidRPr="003A2EB0">
        <w:rPr>
          <w:rFonts w:ascii="Arial" w:hAnsi="Arial" w:cs="Arial"/>
        </w:rPr>
        <w:t>zaproponowane zostało również, by przepisy względniejsze miały zastosowanie w stosunku do wcześniej popełnionych naruszeń.</w:t>
      </w:r>
    </w:p>
    <w:p w14:paraId="314B1FED"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Propozycje te mają na celu dostosowanie wysokości administracyjnych kar pieniężnych przewidzianych w ustawie SENT do rzeczywistego stopnia ryzyka naruszeń związanych z poszczególnymi kategoriami towarów objętych systemem monitorowania przewozu, co jest również zbieżne z oczekiwaniami podmiotów gospodarczych. </w:t>
      </w:r>
    </w:p>
    <w:p w14:paraId="2A149E17"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W odróżnieniu od aktualnego stanu prawego zaproponowane zostało przyjęcie przepisów pozwalających w niektórych przypadkach i dla określonych towarów zastosowanie miarkowania kary, z uwagi na jej elastyczną wysokość. W przypadku stwierdzenia nieprawidłowości związanych z przewozem towarów wysokość kary pieniężnej będzie uwarunkowana od rodzaju przewożonego towaru. Planowane jest wprowadzenie niższych kar pieniężnych w przypadku stwierdzenia nieprawidłowości przy przewozie towarów innych niż wyroby akcyzowe lub niestanowiących zagrożenia dla bezpieczeństwa narodowego. </w:t>
      </w:r>
    </w:p>
    <w:p w14:paraId="7401ADC5"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Zaproponowane zostało rozwiązanie, aby odstąpienie od nałożenia kary pieniężnej warunkowane było okolicznościami sprawy. I tak w przypadku, gdy okoliczności sprawy i dowody będą wskazywać, że podmiot (na który miałaby być nałożona administracyjna kara pieniężna) dokonał zgłoszenia do rejestru SENT, ale w tym zgłoszeniu ujawniono formalne nieprawidłowości, które mogły powstać w wyniku oczywistej omyłki, to organ KAS na wniosek podmiotu będzie mógł odstąpić od nałożenia kary pieniężnej i poprzestać na pouczeniu.  </w:t>
      </w:r>
    </w:p>
    <w:p w14:paraId="7F746176"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Również zostanie zaproponowane aby organ KAS dokonując wymiaru wysokości nakładanej kary pieniężnej (miarkowania) uwzględniał liczbę i rodzaj dokonanych zgłoszeń w rejestrze SENT, liczbę ujawnionych wcześniej naruszeń w wyniku kontroli lub analiz danych w rejestrze oraz czy podmiot ma zaległości w podatkach, opłatach oraz niepodatkowych należnościach budżetu państwa . </w:t>
      </w:r>
    </w:p>
    <w:p w14:paraId="2ECBF8A9" w14:textId="77777777" w:rsidR="003A2EB0" w:rsidRPr="003A2EB0" w:rsidRDefault="003A2EB0" w:rsidP="003A2EB0">
      <w:pPr>
        <w:spacing w:after="0" w:line="300" w:lineRule="auto"/>
        <w:jc w:val="both"/>
        <w:rPr>
          <w:rFonts w:ascii="Arial" w:hAnsi="Arial" w:cs="Arial"/>
        </w:rPr>
      </w:pPr>
      <w:r w:rsidRPr="003A2EB0">
        <w:rPr>
          <w:rFonts w:ascii="Arial" w:hAnsi="Arial" w:cs="Arial"/>
        </w:rPr>
        <w:lastRenderedPageBreak/>
        <w:t xml:space="preserve">Z uwagi na to, że nowe rozwiązania w zakresie kar pieniężnych będą korzystniejsze dla podmiotów gospodarczych (jak już wskazano proponuje się wprowadzenie możliwości miarkowania niektórych kar pieniężnych oraz możliwości poprzestania na pouczeniu w miejsce nałożenia kary pieniężnej) planowane jest, aby stosować te względniejsze przepisy do tożsamych zdarzeń zaistniałych przed dniem wejścia w życie zmian przepisów ustawy. </w:t>
      </w:r>
    </w:p>
    <w:p w14:paraId="620F2A8F"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Zmiana delegacji ustawowej z art. 3 ust. 11 ustawy umożliwi ministrowi właściwemu do spraw finansów publicznych wydanie rozporządzenia określającego towary które nie są wyrobami akcyzowymi, które będą wskazane jako te zagrażające bezpieczeństwu narodowemu, ale są objęte systemem SENT. Na tej podstawie przy ujawnieniu, przed wejściem w życie planowanych przepisów i po, identycznych naruszeń obowiązków wynikających z ustawy, będzie możliwe stosowanie przy orzekaniu tożsamych zasad wymiaru administracyjnej kary pieniężnej albo nawet odstąpienie od jej nałożenia i poprzestanie na pouczeniu.  </w:t>
      </w:r>
    </w:p>
    <w:p w14:paraId="7AE08E81"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Dla organów właściwych w zakresie rolnictwa oraz klimatu jest planowane wprowadzenie uprawnień do korzystania z danych z rejestru SENT w zakresie niezbędnym do realizacji ich ustawowych zadań. Zaproponowane rozwiązania umożliwią sprawniejsze działanie tych organów oraz zapewnią efektywne monitorowanie przewozu produktów rolnych i zwalczanie przestępczości środowiskowej. Proponowane zmiany mają na celu zagwarantowanie skuteczniejszego nadzoru nad systemem gospodarki odpadami. Sprawowanie skutecznego nadzoru nad strumieniem odpadów ma zapobiec prowadzeniu gospodarki odpadami w szarej strefie. Zakłada się, że przedstawione zmiany wpłyną pozytywnie na ochronę środowiska naturalnego w Polsce przez zwiększenie skuteczności działań prewencyjnych oraz efektywniejsze zwalczanie szarej strefy w gospodarce odpadowej. Zaproponowane rozwiązania umożliwią również organom właściwym do spraw rolnictwa realizację ich ustawowych zadań w zakresie kontroli przewozów wybranych, wrażliwych z punktu widzenia bezpieczeństwa żywnościowego i gospodarczego, artykułów roślinnych i zwierzęcych. </w:t>
      </w:r>
    </w:p>
    <w:p w14:paraId="13C7F3E9"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Zmiany w ustawie o KAS eliminują wątpliwości interpretacyjne, w części stanowią wykonanie wniosków pokontrolnych NIK oraz wprowadzają możliwość wykorzystywania zamknięć urzędowych w formie plomb elektronicznych do przewozów innych niż przewóz towarów objętych systemem SENT. Dane </w:t>
      </w:r>
      <w:proofErr w:type="spellStart"/>
      <w:r w:rsidRPr="003A2EB0">
        <w:rPr>
          <w:rFonts w:ascii="Arial" w:hAnsi="Arial" w:cs="Arial"/>
        </w:rPr>
        <w:t>geolokalizacyjne</w:t>
      </w:r>
      <w:proofErr w:type="spellEnd"/>
      <w:r w:rsidRPr="003A2EB0">
        <w:rPr>
          <w:rFonts w:ascii="Arial" w:hAnsi="Arial" w:cs="Arial"/>
        </w:rPr>
        <w:t xml:space="preserve"> plomby elektronicznej, wraz z jej numerem, miejscem i datą jej nałożenia oraz danymi dotyczącymi środków przewozowych, wyrobów, urządzeń, pomieszczeń, naczyń i innych obiektów, na które są nakładane te zamknięcia urzędowe, będą gromadzone i przetwarzane w rejestrze plomb elektronicznych, prowadzonym przez Szefa KAS. Zaprojektowana regulacja daje możliwość ministrowi właściwemu do spraw finansów publicznych do wyznaczenia, w drodze rozporządzenia, jednostki sektora finansów publicznych lub instytutów badawczych do przetwarzania tych danych, w tym ich analizy, a także do wykonywania czynności związanych z technicznym utrzymaniem i rozwojem rejestru plomb elektronicznych. W przypadku realizacji tych zadań przez instytut badawczy otrzymuje on dotację celową z budżetu państwa z części, której dysponentem jest minister właściwy do spraw finansów publicznych. </w:t>
      </w:r>
    </w:p>
    <w:p w14:paraId="78E4EDA9"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Planowane jest również w ustawie z dnia 29 sierpnia 1997 r. – Ordynacja podatkowa (Dz. U. z 2026 r. poz. 622) rozszerzenie katalogu organów (o organy Inspekcji Ochrony Środowiska), którym organy podatkowe będą udostępniać dane niezawarte w aktach spraw podatkowych, jeżeli znajdują się w Centralnym Rejestrze Danych Podatkowych. </w:t>
      </w:r>
    </w:p>
    <w:p w14:paraId="22A689FA" w14:textId="017E5932" w:rsidR="003A2EB0" w:rsidRPr="003A2EB0" w:rsidRDefault="003A2EB0" w:rsidP="003A2EB0">
      <w:pPr>
        <w:spacing w:after="0" w:line="300" w:lineRule="auto"/>
        <w:jc w:val="both"/>
        <w:rPr>
          <w:rFonts w:ascii="Arial" w:hAnsi="Arial" w:cs="Arial"/>
        </w:rPr>
      </w:pPr>
      <w:r w:rsidRPr="003A2EB0">
        <w:rPr>
          <w:rFonts w:ascii="Arial" w:hAnsi="Arial" w:cs="Arial"/>
        </w:rPr>
        <w:lastRenderedPageBreak/>
        <w:t xml:space="preserve">Zmiany ustawy z dnia 6 września 2001 r. o transporcie drogowym (Dz. U. z 2025 r. poz. 1490, z </w:t>
      </w:r>
      <w:proofErr w:type="spellStart"/>
      <w:r w:rsidRPr="003A2EB0">
        <w:rPr>
          <w:rFonts w:ascii="Arial" w:hAnsi="Arial" w:cs="Arial"/>
        </w:rPr>
        <w:t>późn</w:t>
      </w:r>
      <w:proofErr w:type="spellEnd"/>
      <w:r w:rsidRPr="003A2EB0">
        <w:rPr>
          <w:rFonts w:ascii="Arial" w:hAnsi="Arial" w:cs="Arial"/>
        </w:rPr>
        <w:t>. zm.) zmierzają do ujednolicenia sposobu pobierania kaucji i w części dotyczącej jej poboru wprowadzają dodatkową możliwość poboru kaucji przez funkcjonariuszy Służby Celno-Skarbowej w formie bezgotówkowej, za pomocą karty płatniczej.</w:t>
      </w:r>
    </w:p>
    <w:p w14:paraId="4FD863BD" w14:textId="77777777" w:rsidR="003A2EB0" w:rsidRDefault="003A2EB0" w:rsidP="00E11A53">
      <w:pPr>
        <w:spacing w:after="0" w:line="300" w:lineRule="auto"/>
        <w:jc w:val="both"/>
        <w:rPr>
          <w:rFonts w:ascii="Arial" w:hAnsi="Arial" w:cs="Arial"/>
        </w:rPr>
      </w:pPr>
    </w:p>
    <w:p w14:paraId="7B618446" w14:textId="77777777" w:rsidR="003A2EB0" w:rsidRPr="003A2EB0" w:rsidRDefault="003A2EB0" w:rsidP="003A2EB0">
      <w:pPr>
        <w:spacing w:after="0" w:line="300" w:lineRule="auto"/>
        <w:jc w:val="both"/>
        <w:rPr>
          <w:rFonts w:ascii="Arial" w:hAnsi="Arial" w:cs="Arial"/>
        </w:rPr>
      </w:pPr>
      <w:r w:rsidRPr="003A2EB0">
        <w:rPr>
          <w:rFonts w:ascii="Arial" w:hAnsi="Arial" w:cs="Arial"/>
        </w:rPr>
        <w:t xml:space="preserve">Przedmiotowy projekt aktu prawnego wraz Uzasadnieniem oraz Oceną Skutków Regulacji dostępny jest na stronach Rządowego Centrum Legislacji pod adresem: </w:t>
      </w:r>
    </w:p>
    <w:p w14:paraId="074BA4D7" w14:textId="0ECAD9B0" w:rsidR="003A2EB0" w:rsidRDefault="003A2EB0" w:rsidP="003A2EB0">
      <w:pPr>
        <w:spacing w:after="0" w:line="300" w:lineRule="auto"/>
        <w:jc w:val="both"/>
        <w:rPr>
          <w:rFonts w:ascii="Arial" w:hAnsi="Arial" w:cs="Arial"/>
        </w:rPr>
      </w:pPr>
      <w:hyperlink r:id="rId7" w:history="1">
        <w:r w:rsidRPr="007B50F9">
          <w:rPr>
            <w:rStyle w:val="Hipercze"/>
            <w:rFonts w:ascii="Arial" w:hAnsi="Arial" w:cs="Arial"/>
          </w:rPr>
          <w:t>https://legislacja.rcl.gov.pl/projekt/1241</w:t>
        </w:r>
        <w:r w:rsidRPr="007B50F9">
          <w:rPr>
            <w:rStyle w:val="Hipercze"/>
            <w:rFonts w:ascii="Arial" w:hAnsi="Arial" w:cs="Arial"/>
          </w:rPr>
          <w:t>3</w:t>
        </w:r>
        <w:r w:rsidRPr="007B50F9">
          <w:rPr>
            <w:rStyle w:val="Hipercze"/>
            <w:rFonts w:ascii="Arial" w:hAnsi="Arial" w:cs="Arial"/>
          </w:rPr>
          <w:t>703/katalog/13222087#13222087</w:t>
        </w:r>
      </w:hyperlink>
      <w:r>
        <w:rPr>
          <w:rFonts w:ascii="Arial" w:hAnsi="Arial" w:cs="Arial"/>
        </w:rPr>
        <w:t xml:space="preserve"> </w:t>
      </w:r>
    </w:p>
    <w:p w14:paraId="019F9822" w14:textId="77777777" w:rsidR="003A2EB0" w:rsidRDefault="003A2EB0" w:rsidP="003A2EB0">
      <w:pPr>
        <w:spacing w:after="0" w:line="300" w:lineRule="auto"/>
        <w:jc w:val="both"/>
        <w:rPr>
          <w:rFonts w:ascii="Arial" w:hAnsi="Arial" w:cs="Arial"/>
        </w:rPr>
      </w:pPr>
    </w:p>
    <w:p w14:paraId="187394DC" w14:textId="5F64ABE1" w:rsidR="003A2EB0" w:rsidRDefault="003A2EB0" w:rsidP="003A2EB0">
      <w:pPr>
        <w:spacing w:after="0" w:line="300" w:lineRule="auto"/>
        <w:jc w:val="both"/>
        <w:rPr>
          <w:rFonts w:ascii="Arial" w:hAnsi="Arial" w:cs="Arial"/>
        </w:rPr>
      </w:pPr>
      <w:r w:rsidRPr="003A2EB0">
        <w:rPr>
          <w:rFonts w:ascii="Arial" w:hAnsi="Arial" w:cs="Arial"/>
        </w:rPr>
        <w:t>Projekt jest obecnie jednocześnie na etapie uzgodnień, konsultacji publicznych i opiniowania.</w:t>
      </w:r>
    </w:p>
    <w:p w14:paraId="63DBFFB5" w14:textId="77777777" w:rsidR="003A2EB0" w:rsidRDefault="003A2EB0" w:rsidP="00E11A53">
      <w:pPr>
        <w:spacing w:after="0" w:line="300" w:lineRule="auto"/>
        <w:jc w:val="both"/>
        <w:rPr>
          <w:rFonts w:ascii="Arial" w:hAnsi="Arial" w:cs="Arial"/>
        </w:rPr>
      </w:pPr>
    </w:p>
    <w:p w14:paraId="0D9C9B8B" w14:textId="62251DE6" w:rsidR="0013571D" w:rsidRPr="0013571D" w:rsidRDefault="0013571D" w:rsidP="0013571D">
      <w:pPr>
        <w:pStyle w:val="Akapitzlist"/>
        <w:numPr>
          <w:ilvl w:val="0"/>
          <w:numId w:val="3"/>
        </w:numPr>
        <w:spacing w:after="0" w:line="300" w:lineRule="auto"/>
        <w:jc w:val="both"/>
        <w:rPr>
          <w:rFonts w:ascii="Arial" w:hAnsi="Arial" w:cs="Arial"/>
          <w:b/>
          <w:bCs/>
          <w:u w:val="single"/>
        </w:rPr>
      </w:pPr>
      <w:r w:rsidRPr="0013571D">
        <w:rPr>
          <w:rFonts w:ascii="Arial" w:hAnsi="Arial" w:cs="Arial"/>
          <w:b/>
          <w:bCs/>
          <w:u w:val="single"/>
        </w:rPr>
        <w:t>P</w:t>
      </w:r>
      <w:r w:rsidRPr="0013571D">
        <w:rPr>
          <w:rFonts w:ascii="Arial" w:hAnsi="Arial" w:cs="Arial"/>
          <w:b/>
          <w:bCs/>
          <w:u w:val="single"/>
        </w:rPr>
        <w:t>rojekt ustawy o zmianie ustawy o podatku dochodowym od osób fizycznych, ustawy o podatku dochodowym od osób prawnych oraz ustawy o zryczałtowanym podatku dochodowym od niektórych przychodów osiąganych przez osoby fizyczne (UD458).</w:t>
      </w:r>
    </w:p>
    <w:p w14:paraId="63B5014A" w14:textId="77777777" w:rsidR="0013571D" w:rsidRPr="0013571D" w:rsidRDefault="0013571D" w:rsidP="0013571D">
      <w:pPr>
        <w:spacing w:after="0" w:line="300" w:lineRule="auto"/>
        <w:jc w:val="both"/>
        <w:rPr>
          <w:rFonts w:ascii="Arial" w:hAnsi="Arial" w:cs="Arial"/>
        </w:rPr>
      </w:pPr>
    </w:p>
    <w:p w14:paraId="782E5AF3" w14:textId="77777777" w:rsidR="0013571D" w:rsidRPr="0013571D" w:rsidRDefault="0013571D" w:rsidP="0013571D">
      <w:pPr>
        <w:spacing w:after="0" w:line="300" w:lineRule="auto"/>
        <w:jc w:val="both"/>
        <w:rPr>
          <w:rFonts w:ascii="Arial" w:hAnsi="Arial" w:cs="Arial"/>
        </w:rPr>
      </w:pPr>
      <w:r w:rsidRPr="0013571D">
        <w:rPr>
          <w:rFonts w:ascii="Arial" w:hAnsi="Arial" w:cs="Arial"/>
        </w:rPr>
        <w:t xml:space="preserve">Przedmiotowy projekt przewiduje wprowadzenie zmian w przepisach ustawy PIT, ustawy CIT i ustawy o ryczałcie w następującym zakresie: </w:t>
      </w:r>
    </w:p>
    <w:p w14:paraId="256414B0" w14:textId="77777777" w:rsidR="0013571D" w:rsidRPr="0013571D" w:rsidRDefault="0013571D" w:rsidP="0013571D">
      <w:pPr>
        <w:pStyle w:val="Akapitzlist"/>
        <w:numPr>
          <w:ilvl w:val="0"/>
          <w:numId w:val="15"/>
        </w:numPr>
        <w:spacing w:after="0" w:line="300" w:lineRule="auto"/>
        <w:jc w:val="both"/>
        <w:rPr>
          <w:rFonts w:ascii="Arial" w:hAnsi="Arial" w:cs="Arial"/>
        </w:rPr>
      </w:pPr>
      <w:r w:rsidRPr="0013571D">
        <w:rPr>
          <w:rFonts w:ascii="Arial" w:hAnsi="Arial" w:cs="Arial"/>
        </w:rPr>
        <w:t xml:space="preserve">zmianę parametrów skali podatkowej, tak aby obciążenie podatkowe było bardziej progresywne, i nie powodowało drastycznego spadku rozporządzalnego dochodu, a zatem aby ten sposób opodatkowania (według skali podatkowej) był bardziej przyjazny dla podatników. Skala podatkowa będzie miała trzy przedziały dochodowe. Pierwszy do 130 tys. zł ze stawką 12%, drugi będzie obejmował dochody w przedziale ponad 130 tys. zł do 150 tys. zł ze stawką 24% i trzeci będzie obejmował dochody przekraczające 150 tys. zł ze stawką 32%. Te zmiany oznaczają, że pierwszy przedział zostanie podwyższony o 10 tys. zł (ze 120 tys. zł do 130 tys. zł), drugi przedział zyska nowy, wyższy próg w wysokości 150 tys. zł oraz znacznie niższą 24% stawkę (obniżka z 32%), a trzeci przedział ze stawką 32% będzie obejmował dochody dopiero powyżej 150 tys. zł. Kwota wolna pozostanie na obecnym poziomie 30 tys. zł. Dzięki takiemu rozwiązaniu część podatników opłacających podatek dochodowy według skali podatkowej zapłaci ten podatek (a w trakcie roku – zaliczkę na podatek) w niższej wysokości. Konsekwencją wprowadzenia zmian w parametrach skali podatkowej będą zmiany w przepisach normujących pobór zaliczek przez płatników. </w:t>
      </w:r>
    </w:p>
    <w:p w14:paraId="0B7A79E2" w14:textId="77777777" w:rsidR="0013571D" w:rsidRPr="0013571D" w:rsidRDefault="0013571D" w:rsidP="0013571D">
      <w:pPr>
        <w:pStyle w:val="Akapitzlist"/>
        <w:spacing w:after="0" w:line="300" w:lineRule="auto"/>
        <w:jc w:val="both"/>
        <w:rPr>
          <w:rFonts w:ascii="Arial" w:hAnsi="Arial" w:cs="Arial"/>
        </w:rPr>
      </w:pPr>
      <w:r w:rsidRPr="0013571D">
        <w:rPr>
          <w:rFonts w:ascii="Arial" w:hAnsi="Arial" w:cs="Arial"/>
        </w:rPr>
        <w:t xml:space="preserve">Skutkiem podniesienia pierwszego progu w skali podatkowej będzie również: </w:t>
      </w:r>
    </w:p>
    <w:p w14:paraId="74A293B0" w14:textId="77777777" w:rsidR="0013571D" w:rsidRPr="0013571D" w:rsidRDefault="0013571D" w:rsidP="0013571D">
      <w:pPr>
        <w:pStyle w:val="Akapitzlist"/>
        <w:numPr>
          <w:ilvl w:val="0"/>
          <w:numId w:val="17"/>
        </w:numPr>
        <w:spacing w:after="0" w:line="300" w:lineRule="auto"/>
        <w:ind w:left="1134" w:hanging="283"/>
        <w:jc w:val="both"/>
        <w:rPr>
          <w:rFonts w:ascii="Arial" w:hAnsi="Arial" w:cs="Arial"/>
        </w:rPr>
      </w:pPr>
      <w:r w:rsidRPr="0013571D">
        <w:rPr>
          <w:rFonts w:ascii="Arial" w:hAnsi="Arial" w:cs="Arial"/>
        </w:rPr>
        <w:t xml:space="preserve">wzrost ze 120 tys. zł do 130 tys. zł limitu możliwych do zastosowania w roku podatkowym zryczałtowanych 50% kosztów uzyskania przychodów przysługujących np. twórcom z tytułu korzystania z praw autorskich i artystom wykonawcom z praw pokrewnych,  </w:t>
      </w:r>
    </w:p>
    <w:p w14:paraId="1C08B6CF" w14:textId="77777777" w:rsidR="0013571D" w:rsidRPr="0013571D" w:rsidRDefault="0013571D" w:rsidP="0013571D">
      <w:pPr>
        <w:pStyle w:val="Akapitzlist"/>
        <w:numPr>
          <w:ilvl w:val="0"/>
          <w:numId w:val="17"/>
        </w:numPr>
        <w:spacing w:after="0" w:line="300" w:lineRule="auto"/>
        <w:ind w:left="1134" w:hanging="283"/>
        <w:jc w:val="both"/>
        <w:rPr>
          <w:rFonts w:ascii="Arial" w:hAnsi="Arial" w:cs="Arial"/>
        </w:rPr>
      </w:pPr>
      <w:r w:rsidRPr="0013571D">
        <w:rPr>
          <w:rFonts w:ascii="Arial" w:hAnsi="Arial" w:cs="Arial"/>
        </w:rPr>
        <w:t xml:space="preserve">wzrost ze 120 tys. zł do 130 tys. zł bazy podatkowej dla zakładów pracy chronionej i zakładów aktywności zawodowej, które to zakłady zaliczki na podatek od dochodów ze stosunku pracy (i stosunków pokrewnych) oraz od zasiłków z ubezpieczenia społecznego przekazują na szczególnych zasadach. Zaliczki pobrane za miesiące od początku roku do miesiąca włącznie, w którym dochód podatnika uzyskany od początku roku u tego rodzaju płatnika przekroczył kwotę </w:t>
      </w:r>
      <w:r w:rsidRPr="0013571D">
        <w:rPr>
          <w:rFonts w:ascii="Arial" w:hAnsi="Arial" w:cs="Arial"/>
        </w:rPr>
        <w:lastRenderedPageBreak/>
        <w:t xml:space="preserve">stanowiącą górną granicę pierwszego przedziału skali podatkowej, nie trafiają do urzędu skarbowego. Są natomiast przekazywane przez zakłady pracy chronionej w 40% na Państwowy Fundusz Rehabilitacji Osób Niepełnosprawnych i w 60% na zakładowy fundusz rehabilitacji osób niepełnosprawnych, a przez zakłady aktywności zawodowej – w 100% na zakładowy fundusz aktywności. </w:t>
      </w:r>
    </w:p>
    <w:p w14:paraId="1559DE05" w14:textId="77777777" w:rsidR="0013571D" w:rsidRPr="0013571D" w:rsidRDefault="0013571D" w:rsidP="0013571D">
      <w:pPr>
        <w:pStyle w:val="Akapitzlist"/>
        <w:numPr>
          <w:ilvl w:val="0"/>
          <w:numId w:val="15"/>
        </w:numPr>
        <w:spacing w:after="0" w:line="300" w:lineRule="auto"/>
        <w:jc w:val="both"/>
        <w:rPr>
          <w:rFonts w:ascii="Arial" w:hAnsi="Arial" w:cs="Arial"/>
        </w:rPr>
      </w:pPr>
      <w:r w:rsidRPr="0013571D">
        <w:rPr>
          <w:rFonts w:ascii="Arial" w:hAnsi="Arial" w:cs="Arial"/>
        </w:rPr>
        <w:t xml:space="preserve">podwyższenie stawki daniny solidarnościowej o 1 </w:t>
      </w:r>
      <w:proofErr w:type="spellStart"/>
      <w:r w:rsidRPr="0013571D">
        <w:rPr>
          <w:rFonts w:ascii="Arial" w:hAnsi="Arial" w:cs="Arial"/>
        </w:rPr>
        <w:t>pp</w:t>
      </w:r>
      <w:proofErr w:type="spellEnd"/>
      <w:r w:rsidRPr="0013571D">
        <w:rPr>
          <w:rFonts w:ascii="Arial" w:hAnsi="Arial" w:cs="Arial"/>
        </w:rPr>
        <w:t xml:space="preserve"> z 4% do 5% podstawy obliczenia tej daniny. Jako, że daninę tę płacą osoby o najwyższych dochodach (39 tys. osób, wg danych MF z deklaracji złożonych w 2024 r.), podwyższenie stawki tej daniny nie będzie dla nich stanowiło zbyt odczuwalnego obciążenia, a z drugiej strony pozwoli zmniejszyć negatywny skutek dla sektora finansów publicznych wynikający ze zmian w skali podatkowej (wzrost wpływów do Funduszu Solidarnościowego). Proponuje się, aby zmiana stawki daniny solidarnościowej weszła w życie z dniem 1 stycznia 2027 r. i miała zastosowanie do tej daniny, której termin zapłaty upływa z dniem 2 maja 2028 r. Do jej obliczenia brane będą pod uwagę dochody wykazywane w zeznaniach PIT składanych od 1 maja 2027 r. do 2 maja 2028 r. Oznacza to, że do 30 kwietnia 2027 r. osoby fizyczne obowiązane do zapłaty daniny solidarnościowej zastosują obecną stawkę, czyli 4% od nadwyżki ponad 1 mln zł dochodu. </w:t>
      </w:r>
    </w:p>
    <w:p w14:paraId="33A72FD9" w14:textId="77777777" w:rsidR="0013571D" w:rsidRPr="0013571D" w:rsidRDefault="0013571D" w:rsidP="0013571D">
      <w:pPr>
        <w:pStyle w:val="Akapitzlist"/>
        <w:numPr>
          <w:ilvl w:val="0"/>
          <w:numId w:val="15"/>
        </w:numPr>
        <w:spacing w:after="0" w:line="300" w:lineRule="auto"/>
        <w:jc w:val="both"/>
        <w:rPr>
          <w:rFonts w:ascii="Arial" w:hAnsi="Arial" w:cs="Arial"/>
        </w:rPr>
      </w:pPr>
      <w:r w:rsidRPr="0013571D">
        <w:rPr>
          <w:rFonts w:ascii="Arial" w:hAnsi="Arial" w:cs="Arial"/>
        </w:rPr>
        <w:t xml:space="preserve">podwyższenie podstawowej stawki podatku CIT z 19% do 22%.  </w:t>
      </w:r>
    </w:p>
    <w:p w14:paraId="2FE35CFE" w14:textId="77777777" w:rsidR="0013571D" w:rsidRPr="0013571D" w:rsidRDefault="0013571D" w:rsidP="0013571D">
      <w:pPr>
        <w:pStyle w:val="Akapitzlist"/>
        <w:spacing w:after="0" w:line="300" w:lineRule="auto"/>
        <w:jc w:val="both"/>
        <w:rPr>
          <w:rFonts w:ascii="Arial" w:hAnsi="Arial" w:cs="Arial"/>
        </w:rPr>
      </w:pPr>
      <w:r w:rsidRPr="0013571D">
        <w:rPr>
          <w:rFonts w:ascii="Arial" w:hAnsi="Arial" w:cs="Arial"/>
        </w:rPr>
        <w:t xml:space="preserve">Proponowane rozwiązanie jest ukierunkowane na podatników o największej skali działalności i potencjale dochodowym tj. na podatników (w tym PGK), których przychody osiągnięte w poprzednim roku podatkowym przekroczyły równowartość 50 mln euro (z uwzględnieniem regulacji przeciwdziałającej unikaniu wyższej stawki CIT). Zastosowanie podwyższonej stawki wobec tej grupy podatników pozwala na zwiększenie dochodów sektora finansów publicznych przy jednoczesnym ograniczeniu wpływu regulacji na mniejsze podmioty. </w:t>
      </w:r>
    </w:p>
    <w:p w14:paraId="407348DA" w14:textId="77777777" w:rsidR="0013571D" w:rsidRPr="0013571D" w:rsidRDefault="0013571D" w:rsidP="0013571D">
      <w:pPr>
        <w:pStyle w:val="Akapitzlist"/>
        <w:spacing w:after="0" w:line="300" w:lineRule="auto"/>
        <w:jc w:val="both"/>
        <w:rPr>
          <w:rFonts w:ascii="Arial" w:hAnsi="Arial" w:cs="Arial"/>
        </w:rPr>
      </w:pPr>
      <w:r w:rsidRPr="0013571D">
        <w:rPr>
          <w:rFonts w:ascii="Arial" w:hAnsi="Arial" w:cs="Arial"/>
        </w:rPr>
        <w:t xml:space="preserve">Wyłączenie banków z zakresu regulacji jest uzasadnione tym, że podlegają one odrębnym zasadom opodatkowania podatkiem dochodowym od osób prawnych, przewidującym wyższy poziom obciążeń podatkowych właściwy dla sektora bankowego, a także szczególnym regulacjom dotyczącym opodatkowania instytucji finansowych.  </w:t>
      </w:r>
    </w:p>
    <w:p w14:paraId="21BE9F1A" w14:textId="77777777" w:rsidR="0013571D" w:rsidRPr="0013571D" w:rsidRDefault="0013571D" w:rsidP="0013571D">
      <w:pPr>
        <w:pStyle w:val="Akapitzlist"/>
        <w:spacing w:after="0" w:line="300" w:lineRule="auto"/>
        <w:jc w:val="both"/>
        <w:rPr>
          <w:rFonts w:ascii="Arial" w:hAnsi="Arial" w:cs="Arial"/>
        </w:rPr>
      </w:pPr>
      <w:r w:rsidRPr="0013571D">
        <w:rPr>
          <w:rFonts w:ascii="Arial" w:hAnsi="Arial" w:cs="Arial"/>
        </w:rPr>
        <w:t xml:space="preserve">Oczekiwanym efektem regulacji jest wzrost dochodów sektora finansów publicznych z tytułu podatku dochodowego od osób prawnych poprzez objęcie wyższą stawką podatku CIT określonych podatników, przy jednoczesnym zachowaniu przejrzystości i stabilności zasad opodatkowania oraz konkurencyjności warunków prowadzenia działalności gospodarczej dla pozostałych przedsiębiorców. </w:t>
      </w:r>
    </w:p>
    <w:p w14:paraId="28EA5BFF" w14:textId="77777777" w:rsidR="0013571D" w:rsidRPr="0013571D" w:rsidRDefault="0013571D" w:rsidP="0013571D">
      <w:pPr>
        <w:pStyle w:val="Akapitzlist"/>
        <w:numPr>
          <w:ilvl w:val="0"/>
          <w:numId w:val="15"/>
        </w:numPr>
        <w:spacing w:after="0" w:line="300" w:lineRule="auto"/>
        <w:jc w:val="both"/>
        <w:rPr>
          <w:rFonts w:ascii="Arial" w:hAnsi="Arial" w:cs="Arial"/>
        </w:rPr>
      </w:pPr>
      <w:r w:rsidRPr="0013571D">
        <w:rPr>
          <w:rFonts w:ascii="Arial" w:hAnsi="Arial" w:cs="Arial"/>
        </w:rPr>
        <w:t xml:space="preserve">dostosowanie zakresu stosowania ryczałtu od przychodów ewidencjonowanych do jego pierwotnych założeń, tj.: </w:t>
      </w:r>
    </w:p>
    <w:p w14:paraId="41D81E47" w14:textId="77777777" w:rsidR="0013571D" w:rsidRPr="0013571D" w:rsidRDefault="0013571D" w:rsidP="0013571D">
      <w:pPr>
        <w:pStyle w:val="Akapitzlist"/>
        <w:numPr>
          <w:ilvl w:val="1"/>
          <w:numId w:val="16"/>
        </w:numPr>
        <w:spacing w:after="0" w:line="300" w:lineRule="auto"/>
        <w:ind w:left="1134" w:hanging="283"/>
        <w:jc w:val="both"/>
        <w:rPr>
          <w:rFonts w:ascii="Arial" w:hAnsi="Arial" w:cs="Arial"/>
        </w:rPr>
      </w:pPr>
      <w:r w:rsidRPr="0013571D">
        <w:rPr>
          <w:rFonts w:ascii="Arial" w:hAnsi="Arial" w:cs="Arial"/>
        </w:rPr>
        <w:t xml:space="preserve">obniżenie limitu przychodów warunkującego możliwość wyboru opodatkowania ryczałtem od przychodów ewidencjonowanych z 2 mln euro do 250 tys. euro, </w:t>
      </w:r>
    </w:p>
    <w:p w14:paraId="1B0E5F10" w14:textId="77777777" w:rsidR="0013571D" w:rsidRPr="0013571D" w:rsidRDefault="0013571D" w:rsidP="0013571D">
      <w:pPr>
        <w:pStyle w:val="Akapitzlist"/>
        <w:numPr>
          <w:ilvl w:val="1"/>
          <w:numId w:val="16"/>
        </w:numPr>
        <w:spacing w:after="0" w:line="300" w:lineRule="auto"/>
        <w:ind w:left="1134" w:hanging="283"/>
        <w:jc w:val="both"/>
        <w:rPr>
          <w:rFonts w:ascii="Arial" w:hAnsi="Arial" w:cs="Arial"/>
        </w:rPr>
      </w:pPr>
      <w:r w:rsidRPr="0013571D">
        <w:rPr>
          <w:rFonts w:ascii="Arial" w:hAnsi="Arial" w:cs="Arial"/>
        </w:rPr>
        <w:t xml:space="preserve">stosowanie wyższej 17% stawki ryczałtu dla nadwyżki przychodów osiągniętych w trakcie roku ponad 300 tys. euro. </w:t>
      </w:r>
    </w:p>
    <w:p w14:paraId="1161B76A" w14:textId="77777777" w:rsidR="0013571D" w:rsidRPr="0013571D" w:rsidRDefault="0013571D" w:rsidP="0013571D">
      <w:pPr>
        <w:pStyle w:val="Akapitzlist"/>
        <w:spacing w:after="0" w:line="300" w:lineRule="auto"/>
        <w:jc w:val="both"/>
        <w:rPr>
          <w:rFonts w:ascii="Arial" w:hAnsi="Arial" w:cs="Arial"/>
        </w:rPr>
      </w:pPr>
      <w:r w:rsidRPr="0013571D">
        <w:rPr>
          <w:rFonts w:ascii="Arial" w:hAnsi="Arial" w:cs="Arial"/>
        </w:rPr>
        <w:t xml:space="preserve">Zakłada się, że wprowadzenie nowych regulacji w postaci obniżenia limitu przychodów z 2 mln euro na 250 tys. euro warunkującego możliwość korzystania z tej formy opodatkowania przez przedsiębiorców, jak również wprowadzenia wyższej stawki </w:t>
      </w:r>
      <w:r w:rsidRPr="0013571D">
        <w:rPr>
          <w:rFonts w:ascii="Arial" w:hAnsi="Arial" w:cs="Arial"/>
        </w:rPr>
        <w:lastRenderedPageBreak/>
        <w:t xml:space="preserve">ryczałtu dla nadwyżki ponad 300 tys. euro osiągniętej w trakcie roku, ograniczy skalę korzystania z preferencyjnych rozwiązań przez podmioty o wysokich przychodach oraz przyczyni się do zwiększenia efektywności i sprawiedliwości systemu podatkowo-składkowego.  </w:t>
      </w:r>
    </w:p>
    <w:p w14:paraId="1E2934F7" w14:textId="6CC625BC" w:rsidR="0013571D" w:rsidRPr="0013571D" w:rsidRDefault="0013571D" w:rsidP="0013571D">
      <w:pPr>
        <w:spacing w:after="0" w:line="300" w:lineRule="auto"/>
        <w:jc w:val="both"/>
        <w:rPr>
          <w:rFonts w:ascii="Arial" w:hAnsi="Arial" w:cs="Arial"/>
        </w:rPr>
      </w:pPr>
      <w:r w:rsidRPr="0013571D">
        <w:rPr>
          <w:rFonts w:ascii="Arial" w:hAnsi="Arial" w:cs="Arial"/>
        </w:rPr>
        <w:t>Podkreślić należy, że nowa, wyższa 17% stawka dotyczyć ma nadwyżki przychodów ponad 300 tys. euro, chociaż nowy limit warunkujący wybór ryczałtu zostanie obniżony do 250 tys. euro. Zatem różnica pomiędzy limitem warunkującym stosowanie ryczałtu a obowiązkiem opłacania wyższej 17% stawki ryczałtu wynosi 50 tys. euro.</w:t>
      </w:r>
    </w:p>
    <w:p w14:paraId="42C71508" w14:textId="77777777" w:rsidR="0013571D" w:rsidRDefault="0013571D" w:rsidP="00E11A53">
      <w:pPr>
        <w:spacing w:after="0" w:line="300" w:lineRule="auto"/>
        <w:jc w:val="both"/>
        <w:rPr>
          <w:rFonts w:ascii="Arial" w:hAnsi="Arial" w:cs="Arial"/>
        </w:rPr>
      </w:pPr>
    </w:p>
    <w:p w14:paraId="43EA4A9E" w14:textId="77777777" w:rsidR="0013571D" w:rsidRPr="0013571D" w:rsidRDefault="0013571D" w:rsidP="0013571D">
      <w:pPr>
        <w:spacing w:after="0" w:line="300" w:lineRule="auto"/>
        <w:jc w:val="both"/>
        <w:rPr>
          <w:rFonts w:ascii="Arial" w:hAnsi="Arial" w:cs="Arial"/>
        </w:rPr>
      </w:pPr>
      <w:r w:rsidRPr="0013571D">
        <w:rPr>
          <w:rFonts w:ascii="Arial" w:hAnsi="Arial" w:cs="Arial"/>
        </w:rPr>
        <w:t xml:space="preserve">Przedmiotowy projekt aktu prawnego wraz Uzasadnieniem oraz Oceną Skutków Regulacji dostępny jest na stronach Rządowego Centrum Legislacji pod adresem: </w:t>
      </w:r>
    </w:p>
    <w:p w14:paraId="5CF51652" w14:textId="58775BFE" w:rsidR="0013571D" w:rsidRDefault="0013571D" w:rsidP="0013571D">
      <w:pPr>
        <w:spacing w:after="0" w:line="300" w:lineRule="auto"/>
        <w:jc w:val="both"/>
        <w:rPr>
          <w:rFonts w:ascii="Arial" w:hAnsi="Arial" w:cs="Arial"/>
        </w:rPr>
      </w:pPr>
      <w:hyperlink r:id="rId8" w:history="1">
        <w:r w:rsidRPr="007B50F9">
          <w:rPr>
            <w:rStyle w:val="Hipercze"/>
            <w:rFonts w:ascii="Arial" w:hAnsi="Arial" w:cs="Arial"/>
          </w:rPr>
          <w:t>https://legislacja.rcl.gov.pl/projekt/12413754/k</w:t>
        </w:r>
        <w:r w:rsidRPr="007B50F9">
          <w:rPr>
            <w:rStyle w:val="Hipercze"/>
            <w:rFonts w:ascii="Arial" w:hAnsi="Arial" w:cs="Arial"/>
          </w:rPr>
          <w:t>a</w:t>
        </w:r>
        <w:r w:rsidRPr="007B50F9">
          <w:rPr>
            <w:rStyle w:val="Hipercze"/>
            <w:rFonts w:ascii="Arial" w:hAnsi="Arial" w:cs="Arial"/>
          </w:rPr>
          <w:t>talog/13222346#13222346</w:t>
        </w:r>
      </w:hyperlink>
      <w:r>
        <w:rPr>
          <w:rFonts w:ascii="Arial" w:hAnsi="Arial" w:cs="Arial"/>
        </w:rPr>
        <w:t xml:space="preserve"> </w:t>
      </w:r>
    </w:p>
    <w:p w14:paraId="05F4115D" w14:textId="77777777" w:rsidR="0013571D" w:rsidRDefault="0013571D" w:rsidP="00E11A53">
      <w:pPr>
        <w:spacing w:after="0" w:line="300" w:lineRule="auto"/>
        <w:jc w:val="both"/>
        <w:rPr>
          <w:rFonts w:ascii="Arial" w:hAnsi="Arial" w:cs="Arial"/>
        </w:rPr>
      </w:pPr>
    </w:p>
    <w:p w14:paraId="4B2AE7E2" w14:textId="0EF572C9" w:rsidR="00424730" w:rsidRDefault="00424730" w:rsidP="00E11A53">
      <w:pPr>
        <w:spacing w:after="0" w:line="300" w:lineRule="auto"/>
        <w:jc w:val="both"/>
        <w:rPr>
          <w:rFonts w:ascii="Arial" w:hAnsi="Arial" w:cs="Arial"/>
        </w:rPr>
      </w:pPr>
      <w:r w:rsidRPr="00424730">
        <w:rPr>
          <w:rFonts w:ascii="Arial" w:hAnsi="Arial" w:cs="Arial"/>
        </w:rPr>
        <w:t>Projekt jest obecnie jednocześnie na etapie uzgodnień, konsultacji publicznych i opiniowania.</w:t>
      </w:r>
    </w:p>
    <w:p w14:paraId="7529023C" w14:textId="77777777" w:rsidR="00424730" w:rsidRDefault="00424730" w:rsidP="00E11A53">
      <w:pPr>
        <w:spacing w:after="0" w:line="300" w:lineRule="auto"/>
        <w:jc w:val="both"/>
        <w:rPr>
          <w:rFonts w:ascii="Arial" w:hAnsi="Arial" w:cs="Arial"/>
        </w:rPr>
      </w:pPr>
    </w:p>
    <w:p w14:paraId="2D023F36" w14:textId="77777777" w:rsidR="00E11A53" w:rsidRDefault="00E11A53" w:rsidP="00E11A53">
      <w:pPr>
        <w:spacing w:after="0" w:line="300" w:lineRule="auto"/>
        <w:jc w:val="both"/>
        <w:rPr>
          <w:rFonts w:ascii="Arial" w:hAnsi="Arial" w:cs="Arial"/>
        </w:rPr>
      </w:pPr>
      <w:r>
        <w:rPr>
          <w:rFonts w:ascii="Arial" w:hAnsi="Arial" w:cs="Arial"/>
        </w:rPr>
        <w:t>Projekty rozporządzeń:</w:t>
      </w:r>
    </w:p>
    <w:p w14:paraId="1E39AEA4" w14:textId="77777777" w:rsidR="00D766E4" w:rsidRDefault="00D766E4" w:rsidP="00E11A53">
      <w:pPr>
        <w:spacing w:after="0" w:line="300" w:lineRule="auto"/>
        <w:jc w:val="both"/>
        <w:rPr>
          <w:rFonts w:ascii="Arial" w:hAnsi="Arial" w:cs="Arial"/>
        </w:rPr>
      </w:pPr>
    </w:p>
    <w:p w14:paraId="41750E79" w14:textId="61DF75E7" w:rsidR="00D766E4" w:rsidRPr="0053607C" w:rsidRDefault="0053607C" w:rsidP="00E11A53">
      <w:pPr>
        <w:pStyle w:val="Akapitzlist"/>
        <w:numPr>
          <w:ilvl w:val="0"/>
          <w:numId w:val="4"/>
        </w:numPr>
        <w:spacing w:after="0" w:line="300" w:lineRule="auto"/>
        <w:jc w:val="both"/>
        <w:rPr>
          <w:rFonts w:ascii="Arial" w:hAnsi="Arial" w:cs="Arial"/>
          <w:b/>
          <w:bCs/>
          <w:u w:val="single"/>
        </w:rPr>
      </w:pPr>
      <w:r w:rsidRPr="0053607C">
        <w:rPr>
          <w:rFonts w:ascii="Arial" w:hAnsi="Arial" w:cs="Arial"/>
          <w:b/>
          <w:bCs/>
          <w:u w:val="single"/>
        </w:rPr>
        <w:t>P</w:t>
      </w:r>
      <w:r w:rsidRPr="0053607C">
        <w:rPr>
          <w:rFonts w:ascii="Arial" w:hAnsi="Arial" w:cs="Arial"/>
          <w:b/>
          <w:bCs/>
          <w:u w:val="single"/>
        </w:rPr>
        <w:t>rojekt rozporządzenia Ministra Finansów i Gospodarki w sprawie opłat na pokrycie kosztów nadzoru nad rynkiem kapitałowym (85/2026).</w:t>
      </w:r>
    </w:p>
    <w:p w14:paraId="411128F1" w14:textId="77777777" w:rsidR="00D766E4" w:rsidRDefault="00D766E4" w:rsidP="00D766E4">
      <w:pPr>
        <w:spacing w:after="0" w:line="300" w:lineRule="auto"/>
        <w:jc w:val="both"/>
        <w:rPr>
          <w:rFonts w:ascii="Arial" w:hAnsi="Arial" w:cs="Arial"/>
        </w:rPr>
      </w:pPr>
    </w:p>
    <w:p w14:paraId="492AE0F9"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Ustawa z dnia 19 czerwca 2026 r. o zmianie niektórych ustaw w związku z opłatami uiszczanymi na rzecz Komisji Nadzoru Finansowego (Dz. U. poz. …), zwana dalej „ustawą zmieniającą”, stanowi odpowiedź na postulaty zgłaszane przez podmioty rynku finansowego w ramach inicjatywy </w:t>
      </w:r>
      <w:proofErr w:type="spellStart"/>
      <w:r w:rsidRPr="0053607C">
        <w:rPr>
          <w:rFonts w:ascii="Arial" w:hAnsi="Arial" w:cs="Arial"/>
        </w:rPr>
        <w:t>deregulacyjnej</w:t>
      </w:r>
      <w:proofErr w:type="spellEnd"/>
      <w:r w:rsidRPr="0053607C">
        <w:rPr>
          <w:rFonts w:ascii="Arial" w:hAnsi="Arial" w:cs="Arial"/>
        </w:rPr>
        <w:t xml:space="preserve"> (MF-103-358). Obecnie obowiązujące przepisy nakładają na uczestników postępowań prowadzonych przez Urząd Komisji Nadzoru Finansowego (UKNF) obowiązek uiszczenia ustawowo określonych opłat, co do zasady, w terminie 14 dni od dnia doręczenia decyzji, zgody czy też dokonania innej czynności urzędowej. W praktyce część wniosków składanych do UKNF jest niepoprawna i wymaga podejmowania przez UKNF szeregu czynności, co wpływa negatywnie na długość prowadzonych postępowań. Zjawisku temu sprzyja obecny system, w którym opłaty są wnoszone dopiero po rozstrzygnięciu sprawy, w związku z czym nawet złożenie wadliwego wniosku inicjuje postępowanie.</w:t>
      </w:r>
    </w:p>
    <w:p w14:paraId="0D057D0A"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Rozwiązanie to nie jest efektywne także z uwagi na fakt, że część podmiotów nie uiszcza opłat, co rodzi po stronie UKNF konieczność dokonywania szeregu czynności w celu ich dochodzenia skutkującego powstaniem dodatkowych kosztów po stronie UKNF. Ustawa zmieniająca dokonała zmiany momentu uiszczenia opłat w zakresie zezwoleń, zgód oraz wpisu do rejestru. Opłata będzie pobierana ex </w:t>
      </w:r>
      <w:proofErr w:type="spellStart"/>
      <w:r w:rsidRPr="0053607C">
        <w:rPr>
          <w:rFonts w:ascii="Arial" w:hAnsi="Arial" w:cs="Arial"/>
        </w:rPr>
        <w:t>ante</w:t>
      </w:r>
      <w:proofErr w:type="spellEnd"/>
      <w:r w:rsidRPr="0053607C">
        <w:rPr>
          <w:rFonts w:ascii="Arial" w:hAnsi="Arial" w:cs="Arial"/>
        </w:rPr>
        <w:t>, a nie ex post, w związku z czym opłacie będzie podlegał już wniosek składany przez podmioty (dowód uiszczenia opłaty będzie dołączany do wniosku).</w:t>
      </w:r>
    </w:p>
    <w:p w14:paraId="269AA52D" w14:textId="77777777" w:rsidR="0053607C" w:rsidRPr="0053607C" w:rsidRDefault="0053607C" w:rsidP="0053607C">
      <w:pPr>
        <w:spacing w:after="0" w:line="300" w:lineRule="auto"/>
        <w:jc w:val="both"/>
        <w:rPr>
          <w:rFonts w:ascii="Arial" w:hAnsi="Arial" w:cs="Arial"/>
        </w:rPr>
      </w:pPr>
      <w:r w:rsidRPr="0053607C">
        <w:rPr>
          <w:rFonts w:ascii="Arial" w:hAnsi="Arial" w:cs="Arial"/>
        </w:rPr>
        <w:t>Pobór opłaty jednorazowej z góry i traktowanie jej jako fiskalnego elementu prawidłowego i kompletnego wniosku jest uzasadnione, ponieważ koszty po stronie UKNF wiążą się z samym faktem prowadzenia postępowania, a zatem powstają niezależnie od rozstrzygnięcia, które w danym postępowaniu jest wydawane. Zmiana momentu uiszczenia opłaty powinna przyczynić się do poprawy jakości składanych wniosków, co usprawni proces ich rozpatrywania i skróci czas prowadzonego postępowania.</w:t>
      </w:r>
    </w:p>
    <w:p w14:paraId="15BF8033" w14:textId="77777777" w:rsidR="0053607C" w:rsidRPr="0053607C" w:rsidRDefault="0053607C" w:rsidP="0053607C">
      <w:pPr>
        <w:spacing w:after="0" w:line="300" w:lineRule="auto"/>
        <w:jc w:val="both"/>
        <w:rPr>
          <w:rFonts w:ascii="Arial" w:hAnsi="Arial" w:cs="Arial"/>
        </w:rPr>
      </w:pPr>
      <w:r w:rsidRPr="0053607C">
        <w:rPr>
          <w:rFonts w:ascii="Arial" w:hAnsi="Arial" w:cs="Arial"/>
        </w:rPr>
        <w:lastRenderedPageBreak/>
        <w:t xml:space="preserve">Dodatkowo ustawa zmieniająca dokonała zmian w zakresie pobierania opłat. Obecnie obowiązujące przepisy nie przewidują pobierania opłaty z tytułu złożenia zawiadomienia o zamiarze nabycia lub objęcia znacznego pakietu akcji w domu maklerskim oraz towarzystwie funduszy inwestycyjnych (TFI). Przeprowadzenie weryfikacji zawiadomienia wiąże się po stronie UKNF z istotnym nakładem pracy analitycznej, prawnej i organizacyjnej – podjęcie rozstrzygnięcia przez Komisję Nadzoru Finansowego (Komisja) jest poprzedzone dokonaniem rozległej analizy dotyczącej w szczególności reputacji potencjalnego nabywcy, źródeł pochodzenia jego środków finansowych, powiązań kapitałowych oraz osobowych, a także wpływu planowanego nabycia na sytuację finansową i organizacyjną podmiotów nadzorowanych. Czynności te generują po stronie UKNF koszty. </w:t>
      </w:r>
    </w:p>
    <w:p w14:paraId="6EA5D7A0" w14:textId="77777777" w:rsidR="0053607C" w:rsidRPr="0053607C" w:rsidRDefault="0053607C" w:rsidP="0053607C">
      <w:pPr>
        <w:spacing w:after="0" w:line="300" w:lineRule="auto"/>
        <w:jc w:val="both"/>
        <w:rPr>
          <w:rFonts w:ascii="Arial" w:hAnsi="Arial" w:cs="Arial"/>
        </w:rPr>
      </w:pPr>
      <w:r w:rsidRPr="0053607C">
        <w:rPr>
          <w:rFonts w:ascii="Arial" w:hAnsi="Arial" w:cs="Arial"/>
        </w:rPr>
        <w:t>Analogiczna sytuacja ma miejsce w przypadku czynności organu nadzoru związanych z rozpatrywaniem wniosków o wyrażenie zgody na powierzenie członkowi zarządu TFI funkcji obejmującej nadzór nad systemem zarządzania ryzykiem oraz nad podejmowaniem decyzji inwestycyjnych dotyczących funduszy inwestycyjnych i portfeli instrumentów finansowych. Obecnie obowiązujące przepisy nie przewidują pobierania opłaty z tego tytułu. Wprowadzenie opłaty za złożenie przez radę nadzorczą TFI wniosku inicjującego takie postępowanie, podobnie jak w przypadku kluczowych członków zarządu domu maklerskiego – jest uzasadnione ponoszeniem po stronie Komisji koniecznych nakładów pracy oraz wagą i złożonością dokonywanej w toku tych postępowań oceny.</w:t>
      </w:r>
    </w:p>
    <w:p w14:paraId="6B4E10AE" w14:textId="77777777" w:rsidR="0053607C" w:rsidRPr="0053607C" w:rsidRDefault="0053607C" w:rsidP="0053607C">
      <w:pPr>
        <w:spacing w:after="0" w:line="300" w:lineRule="auto"/>
        <w:jc w:val="both"/>
        <w:rPr>
          <w:rFonts w:ascii="Arial" w:hAnsi="Arial" w:cs="Arial"/>
        </w:rPr>
      </w:pPr>
      <w:r w:rsidRPr="0053607C">
        <w:rPr>
          <w:rFonts w:ascii="Arial" w:hAnsi="Arial" w:cs="Arial"/>
        </w:rPr>
        <w:t>W związku z powyższym wprowadzona została opłata dotycząca weryfikacji zawiadomienia o zamiarze nabycia lub objęcia znacznego pakietu akcji w domu maklerskim oraz TFI, a także opłaty za czynności organu nadzoru związane z rozpatrywaniem wniosków o wyrażenie zgody na powierzenie członkowi zarządu TFI funkcji obejmującej nadzór nad systemem zarządzania ryzykiem oraz nad podejmowaniem decyzji inwestycyjnych dotyczących funduszy inwestycyjnych i portfeli instrumentów finansowych.</w:t>
      </w:r>
    </w:p>
    <w:p w14:paraId="2CE2D148"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Projektowane rozporządzenie stanowi wykonanie upoważnienia ustawowego zawartego w art. 17 ust. 14 ustawy z dnia 29 lipca 2005 r. o nadzorze nad rynkiem kapitałowym (w brzmieniu określonym ustawą zmieniającą). </w:t>
      </w:r>
    </w:p>
    <w:p w14:paraId="14838A8E"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Projektowane rozporządzenie zastąpi rozporządzenie Ministra Finansów z dnia 17 grudnia 2019 r. w sprawie opłat na pokrycie kosztów nadzoru nad rynkiem kapitałowym (Dz. U. z 2025 r. poz. 1761), zwane dalej „obowiązującym rozporządzeniem”, i wejdzie w życie z dniem wejścia w życie ustawy zmieniającej. </w:t>
      </w:r>
    </w:p>
    <w:p w14:paraId="1567236F" w14:textId="77777777" w:rsidR="0053607C" w:rsidRPr="0053607C" w:rsidRDefault="0053607C" w:rsidP="0053607C">
      <w:pPr>
        <w:spacing w:after="0" w:line="300" w:lineRule="auto"/>
        <w:jc w:val="both"/>
        <w:rPr>
          <w:rFonts w:ascii="Arial" w:hAnsi="Arial" w:cs="Arial"/>
        </w:rPr>
      </w:pPr>
      <w:r w:rsidRPr="0053607C">
        <w:rPr>
          <w:rFonts w:ascii="Arial" w:hAnsi="Arial" w:cs="Arial"/>
        </w:rPr>
        <w:t>W projektowanym rozporządzeniu wprowadza się zmiany wynikające z ww. ustawy polegające na wskazaniu, że opłacie podlega wniosek o udzielenie zezwolenia, zmianę zezwolenia lub wpis do rejestru. Dodatkowo projektowane rozporządzenie wprowadza opłaty z tytułu złożenia zawiadomienia o zamiarze nabycia lub objęcia znacznego pakietu akcji w domu maklerskim oraz TFI oraz opłaty za czynności organu nadzoru związane z rozpatrywaniem wniosków o wyrażenie zgody na powierzenie członkowi zarządu TFI funkcji obejmującej nadzór nad systemem zarządzania ryzykiem oraz nad podejmowaniem decyzji inwestycyjnych dotyczących funduszy inwestycyjnych i portfeli instrumentów finansowych.</w:t>
      </w:r>
    </w:p>
    <w:p w14:paraId="30C7157E" w14:textId="77777777" w:rsidR="0053607C" w:rsidRPr="0053607C" w:rsidRDefault="0053607C" w:rsidP="0053607C">
      <w:pPr>
        <w:spacing w:after="0" w:line="300" w:lineRule="auto"/>
        <w:jc w:val="both"/>
        <w:rPr>
          <w:rFonts w:ascii="Arial" w:hAnsi="Arial" w:cs="Arial"/>
        </w:rPr>
      </w:pPr>
      <w:r w:rsidRPr="0053607C">
        <w:rPr>
          <w:rFonts w:ascii="Arial" w:hAnsi="Arial" w:cs="Arial"/>
        </w:rPr>
        <w:t>Merytorycznie pozostałe przepisy nie uległy zmianie, bowiem obecny system ponoszenia kosztów nadzoru nad rynkiem kapitałowym, przez podmioty nadzorowane funkcjonuje prawidłowo, w związku z tym projektowane rozporządzenie w pozostałym zakresie powtarza przepisy obowiązującego rozporządzenia.</w:t>
      </w:r>
    </w:p>
    <w:p w14:paraId="60905724" w14:textId="77777777" w:rsidR="0053607C" w:rsidRPr="0053607C" w:rsidRDefault="0053607C" w:rsidP="0053607C">
      <w:pPr>
        <w:spacing w:after="0" w:line="300" w:lineRule="auto"/>
        <w:jc w:val="both"/>
        <w:rPr>
          <w:rFonts w:ascii="Arial" w:hAnsi="Arial" w:cs="Arial"/>
        </w:rPr>
      </w:pPr>
      <w:r w:rsidRPr="0053607C">
        <w:rPr>
          <w:rFonts w:ascii="Arial" w:hAnsi="Arial" w:cs="Arial"/>
        </w:rPr>
        <w:lastRenderedPageBreak/>
        <w:t xml:space="preserve">Oczekiwanym efektem projektowanych regulacji jest skrócenie czasu prowadzonego postępowania w zakresie zezwoleń, zgód oraz wpisu do rejestrów. Przewiduje się, że pobieranie opłat ex </w:t>
      </w:r>
      <w:proofErr w:type="spellStart"/>
      <w:r w:rsidRPr="0053607C">
        <w:rPr>
          <w:rFonts w:ascii="Arial" w:hAnsi="Arial" w:cs="Arial"/>
        </w:rPr>
        <w:t>ante</w:t>
      </w:r>
      <w:proofErr w:type="spellEnd"/>
      <w:r w:rsidRPr="0053607C">
        <w:rPr>
          <w:rFonts w:ascii="Arial" w:hAnsi="Arial" w:cs="Arial"/>
        </w:rPr>
        <w:t xml:space="preserve"> sprawi, że składane wnioski będą opracowywane z większą starannością, co wpłynie korzystnie na oczekiwane efekty.</w:t>
      </w:r>
    </w:p>
    <w:p w14:paraId="1C6BEE26" w14:textId="77777777" w:rsidR="0053607C" w:rsidRPr="0053607C" w:rsidRDefault="0053607C" w:rsidP="0053607C">
      <w:pPr>
        <w:spacing w:after="0" w:line="300" w:lineRule="auto"/>
        <w:jc w:val="both"/>
        <w:rPr>
          <w:rFonts w:ascii="Arial" w:hAnsi="Arial" w:cs="Arial"/>
        </w:rPr>
      </w:pPr>
      <w:r w:rsidRPr="0053607C">
        <w:rPr>
          <w:rFonts w:ascii="Arial" w:hAnsi="Arial" w:cs="Arial"/>
        </w:rPr>
        <w:t>Wprowadzenie opłaty z tytułu złożenia zawiadomienia o zamiarze nabycia lub objęcia znacznego pakietu akcji w domu maklerskim oraz TFI oraz opłaty za czynności organu nadzoru związane z rozpatrywaniem wniosków o wyrażenie zgody na powierzenie członkowi zarządu TFI funkcji obejmującej nadzór nad systemem zarządzania ryzykiem oraz nad podejmowaniem decyzji inwestycyjnych dotyczących funduszy inwestycyjnych i portfeli instrumentów finansowych ma na celu zapewnienie partycypacji przez podmioty inicjujące określone czynności UKNF w pokrywaniu kosztów, które te czynności generują, zgodnie z art. 19a ustawy z dnia 21 lipca 2006 r. o nadzorze nad rynkiem finansowym (Dz. U. z 2026 r. poz. 935).</w:t>
      </w:r>
    </w:p>
    <w:p w14:paraId="739BFB1F"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Z informacji uzyskanych z UKNF w latach 2024-2025 UKNF przeprowadził łącznie 14 postępowań w sprawie zamiaru nabycia lub objęcia znacznego pakietu akcji domu maklerskiego, z czego w przypadku 6 postępowań prowadzonych w 2025 r. zawiadomienia były złożone nieprawidłowo. </w:t>
      </w:r>
    </w:p>
    <w:p w14:paraId="41FDD3DD"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W latach 2024-2025 UKNF przeprowadził łącznie 9 postępowań w sprawie nabycia lub objęcia znacznego pakietu akcji TFI, z czego 2 zostały umorzone. </w:t>
      </w:r>
    </w:p>
    <w:p w14:paraId="41B5AC03" w14:textId="77777777" w:rsidR="0053607C" w:rsidRPr="0053607C" w:rsidRDefault="0053607C" w:rsidP="0053607C">
      <w:pPr>
        <w:spacing w:after="0" w:line="300" w:lineRule="auto"/>
        <w:jc w:val="both"/>
        <w:rPr>
          <w:rFonts w:ascii="Arial" w:hAnsi="Arial" w:cs="Arial"/>
        </w:rPr>
      </w:pPr>
      <w:r w:rsidRPr="0053607C">
        <w:rPr>
          <w:rFonts w:ascii="Arial" w:hAnsi="Arial" w:cs="Arial"/>
        </w:rPr>
        <w:t>Dodatkowo w latach 2024-2025 UKNF przeprowadził łącznie 30 postępowań z wniosku o wyrażenie zgody na powołanie członka zarządu sprawującego kluczowe funkcje w TFI, z czego 12 zostało umorzonych.</w:t>
      </w:r>
    </w:p>
    <w:p w14:paraId="249DF3E0" w14:textId="7194CA0D" w:rsidR="0053607C" w:rsidRDefault="0053607C" w:rsidP="0053607C">
      <w:pPr>
        <w:spacing w:after="0" w:line="300" w:lineRule="auto"/>
        <w:jc w:val="both"/>
        <w:rPr>
          <w:rFonts w:ascii="Arial" w:hAnsi="Arial" w:cs="Arial"/>
        </w:rPr>
      </w:pPr>
      <w:r w:rsidRPr="0053607C">
        <w:rPr>
          <w:rFonts w:ascii="Arial" w:hAnsi="Arial" w:cs="Arial"/>
        </w:rPr>
        <w:t>Szacowany łączny przychód z tytułu wprowadzenia nowych opłat stanowiłby łącznie kwotę 56 000 euro rocznie. W ujęciu rocznym liczba wniosków w przedmiotowych sprawach utrzymuje się na podobnym poziomie, wobec czego należy się spodziewać podobnego poziomu przychodów z tego tytułu w kolejnych latach.</w:t>
      </w:r>
    </w:p>
    <w:p w14:paraId="0325B45F" w14:textId="77777777" w:rsidR="0053607C" w:rsidRDefault="0053607C" w:rsidP="00D766E4">
      <w:pPr>
        <w:spacing w:after="0" w:line="300" w:lineRule="auto"/>
        <w:jc w:val="both"/>
        <w:rPr>
          <w:rFonts w:ascii="Arial" w:hAnsi="Arial" w:cs="Arial"/>
        </w:rPr>
      </w:pPr>
    </w:p>
    <w:p w14:paraId="36D44B86" w14:textId="77777777" w:rsidR="0053607C" w:rsidRPr="0053607C" w:rsidRDefault="0053607C" w:rsidP="0053607C">
      <w:pPr>
        <w:spacing w:after="0" w:line="300" w:lineRule="auto"/>
        <w:jc w:val="both"/>
        <w:rPr>
          <w:rFonts w:ascii="Arial" w:hAnsi="Arial" w:cs="Arial"/>
        </w:rPr>
      </w:pPr>
      <w:r w:rsidRPr="0053607C">
        <w:rPr>
          <w:rFonts w:ascii="Arial" w:hAnsi="Arial" w:cs="Arial"/>
        </w:rPr>
        <w:t xml:space="preserve">Przedmiotowy projekt aktu prawnego wraz załącznikiem, Uzasadnieniem oraz Oceną Skutków Regulacji dostępny jest na stronach Rządowego Centrum Legislacji pod adresem: </w:t>
      </w:r>
    </w:p>
    <w:p w14:paraId="0F1FF39B" w14:textId="4E99ABF5" w:rsidR="0053607C" w:rsidRDefault="0053607C" w:rsidP="0053607C">
      <w:pPr>
        <w:spacing w:after="0" w:line="300" w:lineRule="auto"/>
        <w:jc w:val="both"/>
        <w:rPr>
          <w:rFonts w:ascii="Arial" w:hAnsi="Arial" w:cs="Arial"/>
        </w:rPr>
      </w:pPr>
      <w:hyperlink r:id="rId9" w:history="1">
        <w:r w:rsidRPr="007B50F9">
          <w:rPr>
            <w:rStyle w:val="Hipercze"/>
            <w:rFonts w:ascii="Arial" w:hAnsi="Arial" w:cs="Arial"/>
          </w:rPr>
          <w:t>https://legislacja.rcl.gov.pl/projekt/1241335</w:t>
        </w:r>
        <w:r w:rsidRPr="007B50F9">
          <w:rPr>
            <w:rStyle w:val="Hipercze"/>
            <w:rFonts w:ascii="Arial" w:hAnsi="Arial" w:cs="Arial"/>
          </w:rPr>
          <w:t>0</w:t>
        </w:r>
        <w:r w:rsidRPr="007B50F9">
          <w:rPr>
            <w:rStyle w:val="Hipercze"/>
            <w:rFonts w:ascii="Arial" w:hAnsi="Arial" w:cs="Arial"/>
          </w:rPr>
          <w:t>/katalog/13219958#13219958</w:t>
        </w:r>
      </w:hyperlink>
      <w:r>
        <w:rPr>
          <w:rFonts w:ascii="Arial" w:hAnsi="Arial" w:cs="Arial"/>
        </w:rPr>
        <w:t xml:space="preserve"> </w:t>
      </w:r>
    </w:p>
    <w:p w14:paraId="39464429" w14:textId="77777777" w:rsidR="0053607C" w:rsidRDefault="0053607C" w:rsidP="0053607C">
      <w:pPr>
        <w:spacing w:after="0" w:line="300" w:lineRule="auto"/>
        <w:jc w:val="both"/>
        <w:rPr>
          <w:rFonts w:ascii="Arial" w:hAnsi="Arial" w:cs="Arial"/>
        </w:rPr>
      </w:pPr>
    </w:p>
    <w:p w14:paraId="5717287C" w14:textId="33751E23" w:rsidR="0053607C" w:rsidRDefault="00846BD7" w:rsidP="0053607C">
      <w:pPr>
        <w:spacing w:after="0" w:line="300" w:lineRule="auto"/>
        <w:jc w:val="both"/>
        <w:rPr>
          <w:rFonts w:ascii="Arial" w:hAnsi="Arial" w:cs="Arial"/>
        </w:rPr>
      </w:pPr>
      <w:r w:rsidRPr="00846BD7">
        <w:rPr>
          <w:rFonts w:ascii="Arial" w:hAnsi="Arial" w:cs="Arial"/>
        </w:rPr>
        <w:t>Projekt jest obecnie jednocześnie na etapie uzgodnień, konsultacji publicznych i opiniowania.</w:t>
      </w:r>
    </w:p>
    <w:p w14:paraId="0C8F72A0" w14:textId="77777777" w:rsidR="0053607C" w:rsidRPr="00D766E4" w:rsidRDefault="0053607C" w:rsidP="00D766E4">
      <w:pPr>
        <w:spacing w:after="0" w:line="300" w:lineRule="auto"/>
        <w:jc w:val="both"/>
        <w:rPr>
          <w:rFonts w:ascii="Arial" w:hAnsi="Arial" w:cs="Arial"/>
        </w:rPr>
      </w:pPr>
    </w:p>
    <w:p w14:paraId="4F3D642E" w14:textId="7F3F0ACD" w:rsidR="00D766E4" w:rsidRPr="00494640" w:rsidRDefault="00494640" w:rsidP="00E11A53">
      <w:pPr>
        <w:pStyle w:val="Akapitzlist"/>
        <w:numPr>
          <w:ilvl w:val="0"/>
          <w:numId w:val="4"/>
        </w:numPr>
        <w:spacing w:after="0" w:line="300" w:lineRule="auto"/>
        <w:jc w:val="both"/>
        <w:rPr>
          <w:rFonts w:ascii="Arial" w:hAnsi="Arial" w:cs="Arial"/>
          <w:b/>
          <w:bCs/>
          <w:u w:val="single"/>
        </w:rPr>
      </w:pPr>
      <w:r w:rsidRPr="00494640">
        <w:rPr>
          <w:rFonts w:ascii="Arial" w:hAnsi="Arial" w:cs="Arial"/>
          <w:b/>
          <w:bCs/>
          <w:u w:val="single"/>
        </w:rPr>
        <w:t>P</w:t>
      </w:r>
      <w:r w:rsidRPr="00494640">
        <w:rPr>
          <w:rFonts w:ascii="Arial" w:hAnsi="Arial" w:cs="Arial"/>
          <w:b/>
          <w:bCs/>
          <w:u w:val="single"/>
        </w:rPr>
        <w:t>rojekt rozporządzenia Rady Ministrów zmieniającego rozporządzenie w sprawie ustanowienia odznaki honorowej "Zasłużony dla polskiej geologii", ustalenia jej wzoru oraz zasad i trybu nadawania, a także noszenia (RD319).</w:t>
      </w:r>
    </w:p>
    <w:p w14:paraId="3073E2AE" w14:textId="77777777" w:rsidR="00D766E4" w:rsidRPr="00494640" w:rsidRDefault="00D766E4" w:rsidP="00494640">
      <w:pPr>
        <w:spacing w:after="0" w:line="300" w:lineRule="auto"/>
        <w:jc w:val="both"/>
        <w:rPr>
          <w:rFonts w:ascii="Arial" w:hAnsi="Arial" w:cs="Arial"/>
        </w:rPr>
      </w:pPr>
    </w:p>
    <w:p w14:paraId="130227CF" w14:textId="77777777" w:rsidR="00494640" w:rsidRPr="00494640" w:rsidRDefault="00494640" w:rsidP="00494640">
      <w:pPr>
        <w:spacing w:after="0" w:line="300" w:lineRule="auto"/>
        <w:jc w:val="both"/>
        <w:rPr>
          <w:rFonts w:ascii="Arial" w:hAnsi="Arial" w:cs="Arial"/>
        </w:rPr>
      </w:pPr>
      <w:r w:rsidRPr="00494640">
        <w:rPr>
          <w:rFonts w:ascii="Arial" w:hAnsi="Arial" w:cs="Arial"/>
        </w:rPr>
        <w:t>Celem wydania projektowanego rozporządzenia jest nowelizacja obowiązującego aktu prawnego w sprawie ustanowienia odznaki honorowej „Zasłużony dla polskiej geologii”, ustalenia jej wzoru oraz zasad i trybu nadawania, a także noszenia, która jest podyktowana brakiem spójności i jasności w obowiązujących przepisach rozporządzenia. Proponowane zmiany mają na celu uproszczenie i doprecyzowanie procedury nadawania odznaki „Zasłużony dla polskiej geologii”, a także rozwianie powstających wątpliwości interpretacyjnych.</w:t>
      </w:r>
    </w:p>
    <w:p w14:paraId="54BDF00A" w14:textId="77777777" w:rsidR="00494640" w:rsidRPr="00494640" w:rsidRDefault="00494640" w:rsidP="00494640">
      <w:pPr>
        <w:spacing w:after="0" w:line="300" w:lineRule="auto"/>
        <w:jc w:val="both"/>
        <w:rPr>
          <w:rFonts w:ascii="Arial" w:hAnsi="Arial" w:cs="Arial"/>
        </w:rPr>
      </w:pPr>
      <w:r w:rsidRPr="00494640">
        <w:rPr>
          <w:rFonts w:ascii="Arial" w:hAnsi="Arial" w:cs="Arial"/>
        </w:rPr>
        <w:lastRenderedPageBreak/>
        <w:t>Projekt rozwiązuje niżej wymienione problemy:</w:t>
      </w:r>
    </w:p>
    <w:p w14:paraId="15AE802F"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brak przepisu, który przesądza, że odznakę można przyznać pośmiertnie;</w:t>
      </w:r>
    </w:p>
    <w:p w14:paraId="627848AA"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zbyt wąski katalog podmiotów uprawnionych do złożenia wniosku o nadanie odznaki, zwanego dalej „wnioskiem”;</w:t>
      </w:r>
    </w:p>
    <w:p w14:paraId="3B888770"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zbyt krótki termin na rozpatrzenie wniosku;</w:t>
      </w:r>
    </w:p>
    <w:p w14:paraId="7FC099D1"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brak przepisu umożliwiającego złożenie wniosku w postaci elektronicznej;</w:t>
      </w:r>
    </w:p>
    <w:p w14:paraId="1AD9E7BB"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brak przepisu regulującego procedowanie wniosku zawierającego braki formalne;</w:t>
      </w:r>
    </w:p>
    <w:p w14:paraId="349BADB4"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brak przepisu regulującego przekazanie odznaki nadanej pośmiertnie;</w:t>
      </w:r>
    </w:p>
    <w:p w14:paraId="536391C7"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brak przepisu umożliwiającego przekazanie nadanej odznaki osobie wskazanej przez osobę wyróżnioną lub dostarczenie jej za pośrednictwem operatora wyznaczonego, w przypadku, kiedy osoba wyróżniona nie może uczestniczyć w uroczystości nadania odznaki;</w:t>
      </w:r>
    </w:p>
    <w:p w14:paraId="2DDC72C2"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niewłaściwa strona, po której nosi się odznakę (lewa strona ciała, tzw. strona serca, jest uważana za bardziej prominentną i honorową);</w:t>
      </w:r>
    </w:p>
    <w:p w14:paraId="7D2B52CA"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zbędne regulowanie w treści rozporządzenia elementów składowych wniosku, skoro wzór wniosku stanowi załącznik do rozporządzenia;</w:t>
      </w:r>
    </w:p>
    <w:p w14:paraId="0214192E" w14:textId="77777777" w:rsidR="00494640" w:rsidRPr="00494640" w:rsidRDefault="00494640" w:rsidP="00494640">
      <w:pPr>
        <w:pStyle w:val="Akapitzlist"/>
        <w:numPr>
          <w:ilvl w:val="0"/>
          <w:numId w:val="12"/>
        </w:numPr>
        <w:spacing w:after="0" w:line="300" w:lineRule="auto"/>
        <w:jc w:val="both"/>
        <w:rPr>
          <w:rFonts w:ascii="Arial" w:hAnsi="Arial" w:cs="Arial"/>
        </w:rPr>
      </w:pPr>
      <w:r w:rsidRPr="00494640">
        <w:rPr>
          <w:rFonts w:ascii="Arial" w:hAnsi="Arial" w:cs="Arial"/>
        </w:rPr>
        <w:t>konieczność zmiany zawartości wniosku (brak miejsca na wpisanie statusu prawnego uprawnionego podmiotu do złożenia wniosku; zbędne dane w postaci imienia ojca, miejsca urodzenia, a także daty nadania, daty wystawienia i numeru legitymacji).</w:t>
      </w:r>
    </w:p>
    <w:p w14:paraId="5816AEAF" w14:textId="77777777" w:rsidR="00494640" w:rsidRPr="00494640" w:rsidRDefault="00494640" w:rsidP="00494640">
      <w:pPr>
        <w:spacing w:after="0" w:line="300" w:lineRule="auto"/>
        <w:jc w:val="both"/>
        <w:rPr>
          <w:rFonts w:ascii="Arial" w:hAnsi="Arial" w:cs="Arial"/>
        </w:rPr>
      </w:pPr>
      <w:r w:rsidRPr="00494640">
        <w:rPr>
          <w:rFonts w:ascii="Arial" w:hAnsi="Arial" w:cs="Arial"/>
        </w:rPr>
        <w:t>Rekomendowanym rozwiązaniem jest zmiana rozporządzenia Rady Ministrów z dnia 2 sierpnia 2001 r. w sprawie ustanowienia odznaki honorowej „Zasłużony dla polskiej geologii”, ustalenia jej wzoru oraz zasad i trybu nadawania, a także noszenia (Dz. U. poz. 891). Nowelizacja polega na:</w:t>
      </w:r>
    </w:p>
    <w:p w14:paraId="79385986"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dodaniu przepisu, który określi możliwość nadania odznaki pośmiertnie;</w:t>
      </w:r>
    </w:p>
    <w:p w14:paraId="01CF5462"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rozszerzeniu katalogu podmiotów uprawnionych do złożenia wniosku o jednostki organizacyjne i naukowe działające w zakresie geologii;</w:t>
      </w:r>
    </w:p>
    <w:p w14:paraId="09E4D9E5"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wydłużeniu terminu na rozpatrzenie wniosku – wnioski będą mogły być składane nie „co najmniej jeden miesiąc” ale „co najmniej dwa miesiące” przed planowanym dniem wręczenia odznaki;</w:t>
      </w:r>
    </w:p>
    <w:p w14:paraId="2B87D2B4"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wprowadzeniu przepisu umożliwiającego złożenie wniosku w postaci elektronicznej;</w:t>
      </w:r>
    </w:p>
    <w:p w14:paraId="14AB09D1"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wprowadzeniu przepisu regulującego procedowanie wniosku zawierającego braki formalne;</w:t>
      </w:r>
    </w:p>
    <w:p w14:paraId="00A457A1"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dodaniu przepisu dotyczącego wskazania kręgu osób, którym można wręczyć odznakę przyznaną osobie wyróżnionej pośmiertnie;</w:t>
      </w:r>
    </w:p>
    <w:p w14:paraId="3BC27C44"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dodaniu przepisu pozwalającego na przekazanie nadanej odznaki osobie wskazanej przez osobę wyróżnioną lub doręczenie za pośrednictwem operatora wyznaczonego, w rozumieniu ustawy z dnia 23 listopada 2012 r. – Prawo pocztowe (Dz. U. z 2026 r. poz. 558);</w:t>
      </w:r>
    </w:p>
    <w:p w14:paraId="2F260473"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zmianie strony, po której nosi się odznakę z prawej na lewą stronę;</w:t>
      </w:r>
    </w:p>
    <w:p w14:paraId="60857EE6"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usunięciu z rozporządzenia opisu zawartości wniosku (wystarczające jest ujęcie ich we wzorze wniosku stanowiącym załącznik do rozporządzenia);</w:t>
      </w:r>
    </w:p>
    <w:p w14:paraId="7C62368F" w14:textId="77777777" w:rsidR="00494640" w:rsidRPr="00494640" w:rsidRDefault="00494640" w:rsidP="00494640">
      <w:pPr>
        <w:pStyle w:val="Akapitzlist"/>
        <w:numPr>
          <w:ilvl w:val="0"/>
          <w:numId w:val="13"/>
        </w:numPr>
        <w:spacing w:after="0" w:line="300" w:lineRule="auto"/>
        <w:jc w:val="both"/>
        <w:rPr>
          <w:rFonts w:ascii="Arial" w:hAnsi="Arial" w:cs="Arial"/>
        </w:rPr>
      </w:pPr>
      <w:r w:rsidRPr="00494640">
        <w:rPr>
          <w:rFonts w:ascii="Arial" w:hAnsi="Arial" w:cs="Arial"/>
        </w:rPr>
        <w:t xml:space="preserve">usunięciu z wniosku nadmiarowych danych, które nie mają wpływu na decyzję o nadaniu odznaki oraz dopisaniu we wzorze wniosku rubryki (wiersza), w której </w:t>
      </w:r>
      <w:r w:rsidRPr="00494640">
        <w:rPr>
          <w:rFonts w:ascii="Arial" w:hAnsi="Arial" w:cs="Arial"/>
        </w:rPr>
        <w:lastRenderedPageBreak/>
        <w:t>wnioskodawca będzie miał obowiązek wskazania statusu prawnego określonego w § 3 ust. 1 rozporządzenia.</w:t>
      </w:r>
    </w:p>
    <w:p w14:paraId="7D7F8F19" w14:textId="5ED41990" w:rsidR="00494640" w:rsidRPr="00494640" w:rsidRDefault="00494640" w:rsidP="00494640">
      <w:pPr>
        <w:spacing w:after="0" w:line="300" w:lineRule="auto"/>
        <w:jc w:val="both"/>
        <w:rPr>
          <w:rFonts w:ascii="Arial" w:hAnsi="Arial" w:cs="Arial"/>
        </w:rPr>
      </w:pPr>
      <w:r w:rsidRPr="00494640">
        <w:rPr>
          <w:rFonts w:ascii="Arial" w:hAnsi="Arial" w:cs="Arial"/>
        </w:rPr>
        <w:t>Zgodnie z projektowanym przepisem przejściowym, do wniosków nierozpatrzonych przed dniem wejścia w życie rozporządzenia zmieniającego stosuje się przepisy rozporządzenia zmienianego w brzmieniu dotychczasowym.</w:t>
      </w:r>
    </w:p>
    <w:p w14:paraId="528694BF" w14:textId="77777777" w:rsidR="00494640" w:rsidRDefault="00494640" w:rsidP="00D766E4">
      <w:pPr>
        <w:spacing w:after="0" w:line="300" w:lineRule="auto"/>
        <w:jc w:val="both"/>
        <w:rPr>
          <w:rFonts w:ascii="Arial" w:hAnsi="Arial" w:cs="Arial"/>
        </w:rPr>
      </w:pPr>
    </w:p>
    <w:p w14:paraId="7E661850" w14:textId="77777777" w:rsidR="00494640" w:rsidRPr="00494640" w:rsidRDefault="00494640" w:rsidP="00494640">
      <w:pPr>
        <w:spacing w:after="0" w:line="300" w:lineRule="auto"/>
        <w:jc w:val="both"/>
        <w:rPr>
          <w:rFonts w:ascii="Arial" w:hAnsi="Arial" w:cs="Arial"/>
        </w:rPr>
      </w:pPr>
      <w:r w:rsidRPr="00494640">
        <w:rPr>
          <w:rFonts w:ascii="Arial" w:hAnsi="Arial" w:cs="Arial"/>
        </w:rPr>
        <w:t xml:space="preserve">Przedmiotowy projekt aktu prawnego wraz załącznikiem, Uzasadnieniem oraz Oceną Skutków Regulacji dostępny jest na stronach Rządowego Centrum Legislacji pod adresem: </w:t>
      </w:r>
    </w:p>
    <w:p w14:paraId="2C54BF70" w14:textId="053545EE" w:rsidR="00494640" w:rsidRDefault="00494640" w:rsidP="00494640">
      <w:pPr>
        <w:spacing w:after="0" w:line="300" w:lineRule="auto"/>
        <w:jc w:val="both"/>
        <w:rPr>
          <w:rFonts w:ascii="Arial" w:hAnsi="Arial" w:cs="Arial"/>
        </w:rPr>
      </w:pPr>
      <w:hyperlink r:id="rId10" w:history="1">
        <w:r w:rsidRPr="007B50F9">
          <w:rPr>
            <w:rStyle w:val="Hipercze"/>
            <w:rFonts w:ascii="Arial" w:hAnsi="Arial" w:cs="Arial"/>
          </w:rPr>
          <w:t>https://legislacja.rcl.gov.pl/projekt/12413501/katalog/13220567#13220567</w:t>
        </w:r>
      </w:hyperlink>
      <w:r>
        <w:rPr>
          <w:rFonts w:ascii="Arial" w:hAnsi="Arial" w:cs="Arial"/>
        </w:rPr>
        <w:t xml:space="preserve"> </w:t>
      </w:r>
    </w:p>
    <w:p w14:paraId="435B22D8" w14:textId="77777777" w:rsidR="00494640" w:rsidRDefault="00494640" w:rsidP="00494640">
      <w:pPr>
        <w:spacing w:after="0" w:line="300" w:lineRule="auto"/>
        <w:jc w:val="both"/>
        <w:rPr>
          <w:rFonts w:ascii="Arial" w:hAnsi="Arial" w:cs="Arial"/>
        </w:rPr>
      </w:pPr>
    </w:p>
    <w:p w14:paraId="3C29D398" w14:textId="4AF38FA7" w:rsidR="00494640" w:rsidRDefault="00494640" w:rsidP="00494640">
      <w:pPr>
        <w:spacing w:after="0" w:line="300" w:lineRule="auto"/>
        <w:jc w:val="both"/>
        <w:rPr>
          <w:rFonts w:ascii="Arial" w:hAnsi="Arial" w:cs="Arial"/>
        </w:rPr>
      </w:pPr>
      <w:r w:rsidRPr="00494640">
        <w:rPr>
          <w:rFonts w:ascii="Arial" w:hAnsi="Arial" w:cs="Arial"/>
        </w:rPr>
        <w:t>Projekt jest obecnie jednocześnie na etapie uzgodnień, konsultacji publicznych i opiniowania.</w:t>
      </w:r>
    </w:p>
    <w:p w14:paraId="3958D66B" w14:textId="77777777" w:rsidR="00494640" w:rsidRPr="00D766E4" w:rsidRDefault="00494640" w:rsidP="00D766E4">
      <w:pPr>
        <w:spacing w:after="0" w:line="300" w:lineRule="auto"/>
        <w:jc w:val="both"/>
        <w:rPr>
          <w:rFonts w:ascii="Arial" w:hAnsi="Arial" w:cs="Arial"/>
        </w:rPr>
      </w:pPr>
    </w:p>
    <w:p w14:paraId="061EF62C" w14:textId="2BFE6EB9" w:rsidR="00D766E4" w:rsidRPr="00EF1562" w:rsidRDefault="00EF1562" w:rsidP="00EF1562">
      <w:pPr>
        <w:pStyle w:val="Akapitzlist"/>
        <w:numPr>
          <w:ilvl w:val="0"/>
          <w:numId w:val="4"/>
        </w:numPr>
        <w:spacing w:after="0" w:line="300" w:lineRule="auto"/>
        <w:jc w:val="both"/>
        <w:rPr>
          <w:rFonts w:ascii="Arial" w:hAnsi="Arial" w:cs="Arial"/>
          <w:b/>
          <w:bCs/>
          <w:u w:val="single"/>
        </w:rPr>
      </w:pPr>
      <w:r w:rsidRPr="00EF1562">
        <w:rPr>
          <w:rFonts w:ascii="Arial" w:hAnsi="Arial" w:cs="Arial"/>
          <w:b/>
          <w:bCs/>
          <w:u w:val="single"/>
        </w:rPr>
        <w:t>P</w:t>
      </w:r>
      <w:r w:rsidRPr="00EF1562">
        <w:rPr>
          <w:rFonts w:ascii="Arial" w:hAnsi="Arial" w:cs="Arial"/>
          <w:b/>
          <w:bCs/>
          <w:u w:val="single"/>
        </w:rPr>
        <w:t>rojekt rozporządzenia Ministra Funduszy i Polityki Regionalnej zmieniające rozporządzenie w sprawie udzielania przez Polską Agencję Rozwoju Przedsiębiorczości pomocy finansowej na wspieranie ośrodków innowacyjności w ramach Programu Operacyjnego Innowacyjna Gospodarka, 2007–2013 (136).</w:t>
      </w:r>
    </w:p>
    <w:p w14:paraId="6F6FA23A" w14:textId="77777777" w:rsidR="00D766E4" w:rsidRPr="00EF1562" w:rsidRDefault="00D766E4" w:rsidP="00EF1562">
      <w:pPr>
        <w:spacing w:after="0" w:line="300" w:lineRule="auto"/>
        <w:jc w:val="both"/>
        <w:rPr>
          <w:rFonts w:ascii="Arial" w:hAnsi="Arial" w:cs="Arial"/>
        </w:rPr>
      </w:pPr>
    </w:p>
    <w:p w14:paraId="480F0885"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Nowelizacja rozporządzenia Ministra Infrastruktury i Rozwoju z dnia 8 grudnia 2014 r. w sprawie udzielania przez Polską Agencję Rozwoju Przedsiębiorczości pomocy finansowej na wspieranie ośrodków innowacyjności w ramach Programu Operacyjnego Innowacyjna Gospodarka, 2007–2013 (Dz. U. z 2025 r. poz. 151), zwanego dalej „rozporządzeniem”, ma na celu przede wszystkim wprowadzenie bardziej elastycznych warunków rozliczenia przez ośrodki innowacyjności otrzymanego wsparcia w ramach Programu Operacyjnego Innowacyjna Gospodarka, 2007–2013, zwanego dalej „PO IG” – działanie 5.3 Wspieranie ośrodków innowacyjności. Działanie to zostało zaprojektowane w taki sposób, aby całość korzyści wynikających z interwencji publicznej odnieśli jej docelowi adresaci (odbiorcy końcowi), tj. przedsiębiorcy prowadzących działalność badawczą, rozwojową lub innowacyjną, korzystający z usług ośrodków innowacyjności. Natomiast same ośrodki innowacyjności są jedynie pośrednikami przekazującymi pomoc publiczną, którzy mimo otrzymania finansowania w ramach działania nie mogą uzyskać z tego powodu żadnych korzyści ekonomicznych, wobec czego sami nie mogą stać się beneficjentami pomocy publicznej.  </w:t>
      </w:r>
    </w:p>
    <w:p w14:paraId="03C6B27B"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Mechanizm przenoszenia przez ośrodek innowacyjności korzyści ekonomicznej na szczebel odbiorcy końcowego polega na tym, że ośrodek innowacyjności otrzymujący wsparcie PO IG przeznaczał je na stworzenie infrastruktury służącej świadczeniu usług proinnowacyjnych, określonych w § 3 ust. 3 rozporządzenia. Po zrealizowaniu inwestycji ośrodek innowacyjności wykorzystuje tę infrastrukturę do świadczenia odbiorcom końcowym usług za odpłatnością niepokrywającą kosztów ich wytworzenia. Taka deficytowa działalność jest prowadzona przez okres wynoszący do 20 lat. Jeżeli skumulowany deficyt wygenerowany przez ośrodek innowacyjności w tym okresie nie zrównoważy całkowicie wsparcia otrzymanego ze środków PO IG, to ośrodek innowacyjności będzie zobowiązany do zwrotu nadwyżki do Agencji. Kwota tej nadwyżki, zwana dalej „kwotą zwrotu”, jest obliczana z wykorzystaniem metody zwaloryzowanych przepływów pieniężnych, według wzoru określonego w § 7 ust. 1 pkt 6 rozporządzenia. Jednocześnie, zgodnie z § 7 ust. 2 rozporządzenia, dokonując rozliczenia, </w:t>
      </w:r>
      <w:r w:rsidRPr="00EF1562">
        <w:rPr>
          <w:rFonts w:ascii="Arial" w:hAnsi="Arial" w:cs="Arial"/>
        </w:rPr>
        <w:lastRenderedPageBreak/>
        <w:t xml:space="preserve">ośrodek innowacyjności może podpisać z Agencją umowę zobowiązującą do kontynuowania prowadzenia działalności na tych samych zasadach. </w:t>
      </w:r>
    </w:p>
    <w:p w14:paraId="78B9DC31"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Kilkunastoletnia praktyka funkcjonowania ośrodków innowacyjności uczestniczących w działaniu 5.3 PO IG wykazała, że niektóre przepisy rozporządzenia narzucają ośrodkom innowacyjności ograniczenia, które nie są dostosowane do obecnych realiów rynkowych. Ośrodek innowacyjności może wprawdzie dokonać wcześniejszego (przed upływem 20-letniego okresu) rozliczenia otrzymanego wsparcia, ale w takim przypadku ograniczenia jego swobody gospodarowania majątkiem pozostają w mocy aż do zakończenia tego okresu. Taka konstrukcja przepisów w istocie zmusza niektóre ośrodki innowacyjności do utrzymywania przestarzałej i nierentownej infrastruktury, a w konsekwencji uniemożliwia świadczenie nowoczesnych, dopasowanych do potrzeb rynkowych usług, co jest sprzeczne z celami działania 5.3 PO IG. </w:t>
      </w:r>
    </w:p>
    <w:p w14:paraId="0D4136E5"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Zaproponowane zmiany § 3 ust. 4 oraz § 7 ust. 1 rozporządzenia usuwają tę niedoskonałość. Po ich wprowadzeniu ośrodki innowacyjności uzyskają możliwość swobodnego gospodarowania swym majątkiem już od chwili dokonania rozliczenia wsparcia otrzymanego w ramach działania 5.3 PO IG. Jednocześnie rozwiązanie to nie jest sprzeczne z zasadami pomocy publicznej, gdyż nie zmienia ono obowiązku wytransferowania całej korzyści wynikającej z otrzymanego wsparcia na odbiorców końcowych. </w:t>
      </w:r>
    </w:p>
    <w:p w14:paraId="19E3A2AB"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Jako że treść § 7 ust. 2 rozporządzenia budziła w praktyce wiele problemów interpretacyjnych, zaproponowano jej zmiany redakcyjne i doprecyzowujące, w tym rozbicie tego przepisu na kilka odrębnych jednostek redakcyjnych.  Przede wszystkim usunięte zostało nieprecyzyjnie sformułowanie, zgodnie z którym do wyliczania kwoty zwrotu bierze się pod uwagę wartość udzielonej przedsiębiorcom pomocy publicznej lub pomocy de </w:t>
      </w:r>
      <w:proofErr w:type="spellStart"/>
      <w:r w:rsidRPr="00EF1562">
        <w:rPr>
          <w:rFonts w:ascii="Arial" w:hAnsi="Arial" w:cs="Arial"/>
        </w:rPr>
        <w:t>minimis</w:t>
      </w:r>
      <w:proofErr w:type="spellEnd"/>
      <w:r w:rsidRPr="00EF1562">
        <w:rPr>
          <w:rFonts w:ascii="Arial" w:hAnsi="Arial" w:cs="Arial"/>
        </w:rPr>
        <w:t xml:space="preserve">, pomimo że wzór, o którym mowa w ust. 1 pkt 6 nie zawiera takiego składnika.  </w:t>
      </w:r>
    </w:p>
    <w:p w14:paraId="4CE44BCB"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Nowe brzmienie przepisów jednoznacznie określa, że ośrodek innowacyjności ma możliwość wystąpienia do Agencji z wnioskiem o przedłużenie terminu rozliczenia otrzymanego wsparcia, na tych samych zasadach, jednak na okres nie dłuższy niż 10 lat (ust. 2). </w:t>
      </w:r>
    </w:p>
    <w:p w14:paraId="6D3C8422"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Ośrodek innowacyjności będzie zobowiązany do przedstawienia wraz z wnioskiem o przedłużenie terminu rozliczenia wsparcia: </w:t>
      </w:r>
    </w:p>
    <w:p w14:paraId="45A600F1" w14:textId="77777777" w:rsidR="00EF1562" w:rsidRPr="00EF1562" w:rsidRDefault="00EF1562" w:rsidP="00EF1562">
      <w:pPr>
        <w:pStyle w:val="Akapitzlist"/>
        <w:numPr>
          <w:ilvl w:val="0"/>
          <w:numId w:val="14"/>
        </w:numPr>
        <w:spacing w:after="0" w:line="300" w:lineRule="auto"/>
        <w:jc w:val="both"/>
        <w:rPr>
          <w:rFonts w:ascii="Arial" w:hAnsi="Arial" w:cs="Arial"/>
        </w:rPr>
      </w:pPr>
      <w:r w:rsidRPr="00EF1562">
        <w:rPr>
          <w:rFonts w:ascii="Arial" w:hAnsi="Arial" w:cs="Arial"/>
        </w:rPr>
        <w:t xml:space="preserve">rozliczenia wsparcia według stanu na dzień składania wniosku oraz </w:t>
      </w:r>
    </w:p>
    <w:p w14:paraId="0C7EE94F" w14:textId="77777777" w:rsidR="00EF1562" w:rsidRPr="00EF1562" w:rsidRDefault="00EF1562" w:rsidP="00EF1562">
      <w:pPr>
        <w:pStyle w:val="Akapitzlist"/>
        <w:numPr>
          <w:ilvl w:val="0"/>
          <w:numId w:val="14"/>
        </w:numPr>
        <w:spacing w:after="0" w:line="300" w:lineRule="auto"/>
        <w:jc w:val="both"/>
        <w:rPr>
          <w:rFonts w:ascii="Arial" w:hAnsi="Arial" w:cs="Arial"/>
        </w:rPr>
      </w:pPr>
      <w:r w:rsidRPr="00EF1562">
        <w:rPr>
          <w:rFonts w:ascii="Arial" w:hAnsi="Arial" w:cs="Arial"/>
        </w:rPr>
        <w:t xml:space="preserve">planu działalności wraz z prognozą finansową na okres przedłużenia terminu rozliczenia otrzymanego wsparcia (dodawany ust. 3). </w:t>
      </w:r>
    </w:p>
    <w:p w14:paraId="7BC9214F"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Agencja rozpatrzy wniosek w oparciu o przedstawione dokumenty. Przedłużenie terminu rozliczenia otrzymanego wsparcia za zgodą Agencji nastąpi w drodze aneksu do umowy o udzielenie wsparcia (dodawany ust. 4).  </w:t>
      </w:r>
    </w:p>
    <w:p w14:paraId="6E0FDAF1"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Dodatkowo, w dodawanym ust. 5 zaproponowano uproszczony sposób obliczenia kwoty  zwrotu w przypadku, gdy po przedłużeniu terminu rozliczenia wsparcia, ośrodek innowacyjności nie dokona ostatecznego rozliczenia wsparcia w przedłużonym terminie (określonym w umowie o udzielenie wsparcia) lub zakończy prowadzenie działalności na warunkach określonych w § 7 ust. 1 rozporządzenia, w tym sprzeda nieruchomość nabytą lub wytworzoną w ramach projektu, przed upływem tego terminu. W takiej sytuacji podstawą ustalenia kwoty zwrotu będzie co do zasady kwota zwrotu, którą ośrodek przedstawił składając wniosek o przedłużenie terminu rozliczenia wsparcia (dodawany ust. 3), zweryfikowana i zatwierdzona przez Agencję przed zawarciem aneksu do umowy o udzielenie wsparcia.  </w:t>
      </w:r>
    </w:p>
    <w:p w14:paraId="714F4A81" w14:textId="77777777" w:rsidR="00EF1562" w:rsidRPr="00EF1562" w:rsidRDefault="00EF1562" w:rsidP="00EF1562">
      <w:pPr>
        <w:spacing w:after="0" w:line="300" w:lineRule="auto"/>
        <w:jc w:val="both"/>
        <w:rPr>
          <w:rFonts w:ascii="Arial" w:hAnsi="Arial" w:cs="Arial"/>
        </w:rPr>
      </w:pPr>
      <w:r w:rsidRPr="00EF1562">
        <w:rPr>
          <w:rFonts w:ascii="Arial" w:hAnsi="Arial" w:cs="Arial"/>
        </w:rPr>
        <w:lastRenderedPageBreak/>
        <w:t xml:space="preserve">W dodawanym ust. 6 zastrzeżono jednak, jako wyjątek od zasady z ust. 5, że w przypadku wzrostu wartości nieruchomości (gruntu, budynku) po dniu złożenia wniosku o przedłużenie terminu rozliczenia wsparcia, kwota jaką będzie zobowiązany zwrócić ośrodek innowacyjności zostanie powiększona o ewentualną różnicę między aktualną wartością nieruchomości a wartością nieruchomości uwzględnioną w rozliczeniu wsparcia na dzień składania wniosku o przedłużenie terminu rozliczenia wsparcia. Agencja ustali aktualną wartość nieruchomości według opinii rzeczoznawcy majątkowego, która zostanie sporządzona na jej zlecenie. Takie rozwiązanie wyeliminuje ryzyko powstania po stronie ośrodka innowacyjności korzyści wynikającej ze wzrostu wartości nieruchomości nabytej lub wytworzonej w ramach projektu. </w:t>
      </w:r>
    </w:p>
    <w:p w14:paraId="09EA39EB"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W sytuacji naruszenia przez ośrodek innowacyjności postanowień umowy o udzielenie wsparcia (nierozliczenia wsparcia w przedłużonym terminie lub zakończenia prowadzenia działalności, w tym sprzedaży nieruchomości nabytej lub wytworzonej w ramach projektu, przed tym terminem) dostęp do ewidencji księgowej i innych danych uwzględnianych we wzorze określonym w § 7 ust. 1 pkt 6 rozporządzenia może być co najmniej utrudniony, a nawet niemożliwy.  Z tego względu określenie kwoty zwrotu w oparciu o już wyliczoną i zweryfikowaną kwotę przedstawioną we wniosku ośrodka innowacyjności o przedłużenie terminu rozliczenia wsparcia wydaje się rozwiązaniem przejrzystym i skutecznym. Ponadto, zaproponowany sposób obliczenia kwoty zwrotu wyklucza możliwość uzyskania przez ośrodek innowacyjności dodatkowej korzyści wynikającej ze wzrostu wartości nieruchomości po dniu złożenia wniosku o przedłużenie terminu rozliczenia wsparcia. Ewentualna różnica w wartości nieruchomości będzie powiększała kwotę zwrotu.  </w:t>
      </w:r>
    </w:p>
    <w:p w14:paraId="0F46ED7B" w14:textId="79BC9401" w:rsidR="00EF1562" w:rsidRPr="00EF1562" w:rsidRDefault="00EF1562" w:rsidP="00EF1562">
      <w:pPr>
        <w:spacing w:after="0" w:line="300" w:lineRule="auto"/>
        <w:jc w:val="both"/>
        <w:rPr>
          <w:rFonts w:ascii="Arial" w:hAnsi="Arial" w:cs="Arial"/>
        </w:rPr>
      </w:pPr>
      <w:r w:rsidRPr="00EF1562">
        <w:rPr>
          <w:rFonts w:ascii="Arial" w:hAnsi="Arial" w:cs="Arial"/>
        </w:rPr>
        <w:t>Biorąc pod uwagę, że przepisy rozporządzenia nie mogą zmieniać z mocy prawa treści już zawartych umów przyjęto zasadę, że umowy o udzieleniu wsparcia, zawarte między Agencją a ośrodkami innowacyjności w okresie realizacji działania 5.3 PO IG, mogą zostać dostosowane do zmian wprowadzanych niniejszą nowelizacją wyłącznie na wniosek ośrodka innowacyjności.</w:t>
      </w:r>
    </w:p>
    <w:p w14:paraId="463F213A" w14:textId="77777777" w:rsidR="00EF1562" w:rsidRDefault="00EF1562" w:rsidP="00D766E4">
      <w:pPr>
        <w:spacing w:after="0" w:line="300" w:lineRule="auto"/>
        <w:jc w:val="both"/>
        <w:rPr>
          <w:rFonts w:ascii="Arial" w:hAnsi="Arial" w:cs="Arial"/>
        </w:rPr>
      </w:pPr>
    </w:p>
    <w:p w14:paraId="3E90CBBC" w14:textId="77777777" w:rsidR="00EF1562" w:rsidRPr="00EF1562" w:rsidRDefault="00EF1562" w:rsidP="00EF1562">
      <w:pPr>
        <w:spacing w:after="0" w:line="300" w:lineRule="auto"/>
        <w:jc w:val="both"/>
        <w:rPr>
          <w:rFonts w:ascii="Arial" w:hAnsi="Arial" w:cs="Arial"/>
        </w:rPr>
      </w:pPr>
      <w:r w:rsidRPr="00EF1562">
        <w:rPr>
          <w:rFonts w:ascii="Arial" w:hAnsi="Arial" w:cs="Arial"/>
        </w:rPr>
        <w:t xml:space="preserve">Przedmiotowy projekt aktu prawnego wraz Uzasadnieniem oraz Oceną Skutków Regulacji dostępny jest na stronach Rządowego Centrum Legislacji pod adresem: </w:t>
      </w:r>
    </w:p>
    <w:p w14:paraId="31BAA940" w14:textId="73204DF1" w:rsidR="00EF1562" w:rsidRDefault="00EF1562" w:rsidP="00EF1562">
      <w:pPr>
        <w:spacing w:after="0" w:line="300" w:lineRule="auto"/>
        <w:jc w:val="both"/>
        <w:rPr>
          <w:rFonts w:ascii="Arial" w:hAnsi="Arial" w:cs="Arial"/>
        </w:rPr>
      </w:pPr>
      <w:hyperlink r:id="rId11" w:history="1">
        <w:r w:rsidRPr="007B50F9">
          <w:rPr>
            <w:rStyle w:val="Hipercze"/>
            <w:rFonts w:ascii="Arial" w:hAnsi="Arial" w:cs="Arial"/>
          </w:rPr>
          <w:t>https://legislacja.rcl.gov.pl/projekt/12413506/</w:t>
        </w:r>
        <w:r w:rsidRPr="007B50F9">
          <w:rPr>
            <w:rStyle w:val="Hipercze"/>
            <w:rFonts w:ascii="Arial" w:hAnsi="Arial" w:cs="Arial"/>
          </w:rPr>
          <w:t>k</w:t>
        </w:r>
        <w:r w:rsidRPr="007B50F9">
          <w:rPr>
            <w:rStyle w:val="Hipercze"/>
            <w:rFonts w:ascii="Arial" w:hAnsi="Arial" w:cs="Arial"/>
          </w:rPr>
          <w:t>atalog/13220813#13220813</w:t>
        </w:r>
      </w:hyperlink>
      <w:r>
        <w:rPr>
          <w:rFonts w:ascii="Arial" w:hAnsi="Arial" w:cs="Arial"/>
        </w:rPr>
        <w:t xml:space="preserve"> </w:t>
      </w:r>
    </w:p>
    <w:p w14:paraId="054A7462" w14:textId="77777777" w:rsidR="00EF1562" w:rsidRDefault="00EF1562" w:rsidP="00D766E4">
      <w:pPr>
        <w:spacing w:after="0" w:line="300" w:lineRule="auto"/>
        <w:jc w:val="both"/>
        <w:rPr>
          <w:rFonts w:ascii="Arial" w:hAnsi="Arial" w:cs="Arial"/>
        </w:rPr>
      </w:pPr>
    </w:p>
    <w:p w14:paraId="6F8E54D8" w14:textId="7A266E32" w:rsidR="00EF1562" w:rsidRDefault="00EF1562" w:rsidP="00D766E4">
      <w:pPr>
        <w:spacing w:after="0" w:line="300" w:lineRule="auto"/>
        <w:jc w:val="both"/>
        <w:rPr>
          <w:rFonts w:ascii="Arial" w:hAnsi="Arial" w:cs="Arial"/>
        </w:rPr>
      </w:pPr>
      <w:r w:rsidRPr="00EF1562">
        <w:rPr>
          <w:rFonts w:ascii="Arial" w:hAnsi="Arial" w:cs="Arial"/>
        </w:rPr>
        <w:t>Projekt jest obecnie jednocześnie na etapie uzgodnień, konsultacji publicznych i opiniowania.</w:t>
      </w:r>
    </w:p>
    <w:p w14:paraId="093DA191" w14:textId="77777777" w:rsidR="00EF1562" w:rsidRPr="00D766E4" w:rsidRDefault="00EF1562" w:rsidP="00D766E4">
      <w:pPr>
        <w:spacing w:after="0" w:line="300" w:lineRule="auto"/>
        <w:jc w:val="both"/>
        <w:rPr>
          <w:rFonts w:ascii="Arial" w:hAnsi="Arial" w:cs="Arial"/>
        </w:rPr>
      </w:pPr>
    </w:p>
    <w:p w14:paraId="04801666" w14:textId="76450B49" w:rsidR="00D766E4" w:rsidRPr="00CD7347" w:rsidRDefault="00CD7347" w:rsidP="00E11A53">
      <w:pPr>
        <w:pStyle w:val="Akapitzlist"/>
        <w:numPr>
          <w:ilvl w:val="0"/>
          <w:numId w:val="4"/>
        </w:numPr>
        <w:spacing w:after="0" w:line="300" w:lineRule="auto"/>
        <w:jc w:val="both"/>
        <w:rPr>
          <w:rFonts w:ascii="Arial" w:hAnsi="Arial" w:cs="Arial"/>
          <w:b/>
          <w:bCs/>
          <w:u w:val="single"/>
        </w:rPr>
      </w:pPr>
      <w:r w:rsidRPr="00CD7347">
        <w:rPr>
          <w:rFonts w:ascii="Arial" w:hAnsi="Arial" w:cs="Arial"/>
          <w:b/>
          <w:bCs/>
          <w:u w:val="single"/>
        </w:rPr>
        <w:t>P</w:t>
      </w:r>
      <w:r w:rsidRPr="00CD7347">
        <w:rPr>
          <w:rFonts w:ascii="Arial" w:hAnsi="Arial" w:cs="Arial"/>
          <w:b/>
          <w:bCs/>
          <w:u w:val="single"/>
        </w:rPr>
        <w:t>rojekt rozporządzenia Ministra Finansów i Gospodarki w sprawie zwolnienia z obowiązku prowadzenia przy użyciu programów komputerowych i przesyłania ewidencji środków trwałych oraz wartości niematerialnych i prawnych na podstawie ustawy o podatku dochodowym od osób prawnych (112/2026).</w:t>
      </w:r>
    </w:p>
    <w:p w14:paraId="7178849D" w14:textId="77777777" w:rsidR="00D766E4" w:rsidRPr="00CD7347" w:rsidRDefault="00D766E4" w:rsidP="00D766E4">
      <w:pPr>
        <w:spacing w:after="0" w:line="300" w:lineRule="auto"/>
        <w:jc w:val="both"/>
        <w:rPr>
          <w:rFonts w:ascii="Arial" w:hAnsi="Arial" w:cs="Arial"/>
        </w:rPr>
      </w:pPr>
    </w:p>
    <w:p w14:paraId="61B55C67" w14:textId="77777777" w:rsidR="00CD7347" w:rsidRPr="00CD7347" w:rsidRDefault="00CD7347" w:rsidP="00CD7347">
      <w:pPr>
        <w:spacing w:after="0" w:line="300" w:lineRule="auto"/>
        <w:jc w:val="both"/>
        <w:rPr>
          <w:rFonts w:ascii="Arial" w:hAnsi="Arial" w:cs="Arial"/>
        </w:rPr>
      </w:pPr>
      <w:r w:rsidRPr="00CD7347">
        <w:rPr>
          <w:rFonts w:ascii="Arial" w:hAnsi="Arial" w:cs="Arial"/>
        </w:rPr>
        <w:t xml:space="preserve">Zgodnie z art. 9 ust. 1c ustawy o CIT podatnicy prowadzący księgi rachunkowe są obowiązani prowadzić te księgi przy użyciu programów komputerowych oraz przesyłać je właściwemu naczelnikowi urzędu skarbowego po zakończeniu roku podatkowego, w terminie do końca siódmego miesiąca po zakończeniu roku podatkowego. Niniejszy przepis wskazuje również, że księgi rachunkowe muszą zostać przekazane za pomocą środków komunikacji elektronicznej, w postaci elektronicznej odpowiadającej strukturze logicznej, o której mowa w </w:t>
      </w:r>
      <w:r w:rsidRPr="00CD7347">
        <w:rPr>
          <w:rFonts w:ascii="Arial" w:hAnsi="Arial" w:cs="Arial"/>
        </w:rPr>
        <w:lastRenderedPageBreak/>
        <w:t xml:space="preserve">art. 193a § 2 Ordynacji podatkowej2) oraz przy zastosowaniu zasad dotyczących przesyłania ksiąg podatkowych lub ich części, które zostały określone w przepisach wydanych na podstawie art. 193a § 3 Ordynacji podatkowej. </w:t>
      </w:r>
    </w:p>
    <w:p w14:paraId="05A6D93A" w14:textId="77777777" w:rsidR="00CD7347" w:rsidRPr="00CD7347" w:rsidRDefault="00CD7347" w:rsidP="00CD7347">
      <w:pPr>
        <w:spacing w:after="0" w:line="300" w:lineRule="auto"/>
        <w:jc w:val="both"/>
        <w:rPr>
          <w:rFonts w:ascii="Arial" w:hAnsi="Arial" w:cs="Arial"/>
        </w:rPr>
      </w:pPr>
      <w:r w:rsidRPr="00CD7347">
        <w:rPr>
          <w:rFonts w:ascii="Arial" w:hAnsi="Arial" w:cs="Arial"/>
        </w:rPr>
        <w:t>Do Ministerstwa Finansów docierają informacje o braku dostępności odpowiednich rozwiązań informatycznych umożliwiających w sposób pełny, automatyczny i zgodny z wymaganiami prawnymi prowadzenie ewidencji środków trwałych oraz wartości niematerialnych i prawnych, a także przesyłanie plików JPK_ST_KR. Problem ten ma charakter powszechny – dotyczy zarówno najmniejszych podatników, samodzielnie prowadzących ewidencje i niekorzystających z usług biur rachunkowych, jak i dużych podmiotów wykorzystujących zaawansowane systemy klasy ERP. W konsekwencji na rynku brakuje obecnie systemów finansowo-księgowych pozwalających przedsiębiorcom na pełne wywiązywanie się z nałożonych obowiązków. Stanowi to obiektywną przeszkodę w realizacji tych wymogów, niezależną od woli i staranności podatników.</w:t>
      </w:r>
    </w:p>
    <w:p w14:paraId="6CE83892" w14:textId="77777777" w:rsidR="00CD7347" w:rsidRPr="00CD7347" w:rsidRDefault="00CD7347" w:rsidP="00CD7347">
      <w:pPr>
        <w:spacing w:after="0" w:line="300" w:lineRule="auto"/>
        <w:jc w:val="both"/>
        <w:rPr>
          <w:rFonts w:ascii="Arial" w:hAnsi="Arial" w:cs="Arial"/>
        </w:rPr>
      </w:pPr>
      <w:r w:rsidRPr="00CD7347">
        <w:rPr>
          <w:rFonts w:ascii="Arial" w:hAnsi="Arial" w:cs="Arial"/>
        </w:rPr>
        <w:t xml:space="preserve">Proponuje się okresowe zwolnienie z części obowiązków ewidencyjnych, które nakłada art. 9 ust. 1c ustawy o CIT. </w:t>
      </w:r>
    </w:p>
    <w:p w14:paraId="23CF2337" w14:textId="77777777" w:rsidR="00CD7347" w:rsidRPr="00CD7347" w:rsidRDefault="00CD7347" w:rsidP="00CD7347">
      <w:pPr>
        <w:spacing w:after="0" w:line="300" w:lineRule="auto"/>
        <w:jc w:val="both"/>
        <w:rPr>
          <w:rFonts w:ascii="Arial" w:hAnsi="Arial" w:cs="Arial"/>
        </w:rPr>
      </w:pPr>
      <w:r w:rsidRPr="00CD7347">
        <w:rPr>
          <w:rFonts w:ascii="Arial" w:hAnsi="Arial" w:cs="Arial"/>
        </w:rPr>
        <w:t xml:space="preserve">Rozporządzenie wprowadza czasowe zwolnienie dla podatników objętych obowiązkiem ewidencyjnym, o którym mowa w art. 9 ust. 1c ustawy o CIT. Na podstawie rozporządzenia podatnicy CIT, spółki niebędące osobami prawnymi oraz podatkowe grupy kapitałowe będą zwolnieni z obowiązku prowadzenia ewidencji środków trwałych oraz wartości niematerialnych i prawnych z wykorzystaniem programu komputerowego, jak również z obowiązku przesyłania danych z tej ewidencji, na zasadach określonych w ustawie o CIT, za okresy sprawozdawcze 2026-2028. </w:t>
      </w:r>
    </w:p>
    <w:p w14:paraId="0BBB135A" w14:textId="5C86B74A" w:rsidR="00CD7347" w:rsidRDefault="00CD7347" w:rsidP="00CD7347">
      <w:pPr>
        <w:spacing w:after="0" w:line="300" w:lineRule="auto"/>
        <w:jc w:val="both"/>
        <w:rPr>
          <w:rFonts w:ascii="Arial" w:hAnsi="Arial" w:cs="Arial"/>
        </w:rPr>
      </w:pPr>
      <w:r w:rsidRPr="00CD7347">
        <w:rPr>
          <w:rFonts w:ascii="Arial" w:hAnsi="Arial" w:cs="Arial"/>
        </w:rPr>
        <w:t>Celem rekomendowanego rozwiązania jest dalsze wydłużenie czasu dla podatników na dostosowanie systemów finansowo-księgowych do nowych regulacji JPK w podatku CIT w zakresie ewidencji środków trwałych oraz wartości niematerialnych i prawnych.</w:t>
      </w:r>
    </w:p>
    <w:p w14:paraId="28AE1817" w14:textId="77777777" w:rsidR="00CD7347" w:rsidRDefault="00CD7347" w:rsidP="00CD7347">
      <w:pPr>
        <w:spacing w:after="0" w:line="300" w:lineRule="auto"/>
        <w:jc w:val="both"/>
        <w:rPr>
          <w:rFonts w:ascii="Arial" w:hAnsi="Arial" w:cs="Arial"/>
        </w:rPr>
      </w:pPr>
    </w:p>
    <w:p w14:paraId="63DA002A" w14:textId="77777777" w:rsidR="00CD7347" w:rsidRPr="00CD7347" w:rsidRDefault="00CD7347" w:rsidP="00CD7347">
      <w:pPr>
        <w:spacing w:after="0" w:line="300" w:lineRule="auto"/>
        <w:jc w:val="both"/>
        <w:rPr>
          <w:rFonts w:ascii="Arial" w:hAnsi="Arial" w:cs="Arial"/>
        </w:rPr>
      </w:pPr>
      <w:r w:rsidRPr="00CD7347">
        <w:rPr>
          <w:rFonts w:ascii="Arial" w:hAnsi="Arial" w:cs="Arial"/>
        </w:rPr>
        <w:t xml:space="preserve">Przedmiotowy projekt aktu prawnego wraz Uzasadnieniem oraz Oceną Skutków Regulacji dostępny jest na stronach Rządowego Centrum Legislacji pod adresem: </w:t>
      </w:r>
    </w:p>
    <w:p w14:paraId="39917C47" w14:textId="6E311603" w:rsidR="00CD7347" w:rsidRPr="00CD7347" w:rsidRDefault="00CD7347" w:rsidP="00CD7347">
      <w:pPr>
        <w:spacing w:after="0" w:line="300" w:lineRule="auto"/>
        <w:jc w:val="both"/>
        <w:rPr>
          <w:rFonts w:ascii="Arial" w:hAnsi="Arial" w:cs="Arial"/>
        </w:rPr>
      </w:pPr>
      <w:hyperlink r:id="rId12" w:history="1">
        <w:r w:rsidRPr="007B50F9">
          <w:rPr>
            <w:rStyle w:val="Hipercze"/>
            <w:rFonts w:ascii="Arial" w:hAnsi="Arial" w:cs="Arial"/>
          </w:rPr>
          <w:t>https://legislacja.rcl.gov.pl/projekt/12413608/kat</w:t>
        </w:r>
        <w:r w:rsidRPr="007B50F9">
          <w:rPr>
            <w:rStyle w:val="Hipercze"/>
            <w:rFonts w:ascii="Arial" w:hAnsi="Arial" w:cs="Arial"/>
          </w:rPr>
          <w:t>a</w:t>
        </w:r>
        <w:r w:rsidRPr="007B50F9">
          <w:rPr>
            <w:rStyle w:val="Hipercze"/>
            <w:rFonts w:ascii="Arial" w:hAnsi="Arial" w:cs="Arial"/>
          </w:rPr>
          <w:t>log/13221582#13221582</w:t>
        </w:r>
      </w:hyperlink>
      <w:r>
        <w:rPr>
          <w:rFonts w:ascii="Arial" w:hAnsi="Arial" w:cs="Arial"/>
        </w:rPr>
        <w:t xml:space="preserve"> </w:t>
      </w:r>
    </w:p>
    <w:p w14:paraId="58B38CBB" w14:textId="77777777" w:rsidR="00CD7347" w:rsidRDefault="00CD7347" w:rsidP="00D766E4">
      <w:pPr>
        <w:spacing w:after="0" w:line="300" w:lineRule="auto"/>
        <w:jc w:val="both"/>
        <w:rPr>
          <w:rFonts w:ascii="Arial" w:hAnsi="Arial" w:cs="Arial"/>
        </w:rPr>
      </w:pPr>
    </w:p>
    <w:p w14:paraId="6A12F568" w14:textId="393584B0" w:rsidR="00CD7347" w:rsidRPr="00CD7347" w:rsidRDefault="00CD7347" w:rsidP="00D766E4">
      <w:pPr>
        <w:spacing w:after="0" w:line="300" w:lineRule="auto"/>
        <w:jc w:val="both"/>
        <w:rPr>
          <w:rFonts w:ascii="Arial" w:hAnsi="Arial" w:cs="Arial"/>
        </w:rPr>
      </w:pPr>
      <w:r w:rsidRPr="00CD7347">
        <w:rPr>
          <w:rFonts w:ascii="Arial" w:hAnsi="Arial" w:cs="Arial"/>
        </w:rPr>
        <w:t>Projekt jest obecnie jednocześnie na etapie uzgodnień</w:t>
      </w:r>
      <w:r>
        <w:rPr>
          <w:rFonts w:ascii="Arial" w:hAnsi="Arial" w:cs="Arial"/>
        </w:rPr>
        <w:t xml:space="preserve"> i</w:t>
      </w:r>
      <w:r w:rsidRPr="00CD7347">
        <w:rPr>
          <w:rFonts w:ascii="Arial" w:hAnsi="Arial" w:cs="Arial"/>
        </w:rPr>
        <w:t xml:space="preserve"> konsultacji publicznyc</w:t>
      </w:r>
      <w:r>
        <w:rPr>
          <w:rFonts w:ascii="Arial" w:hAnsi="Arial" w:cs="Arial"/>
        </w:rPr>
        <w:t>h</w:t>
      </w:r>
      <w:r w:rsidRPr="00CD7347">
        <w:rPr>
          <w:rFonts w:ascii="Arial" w:hAnsi="Arial" w:cs="Arial"/>
        </w:rPr>
        <w:t>.</w:t>
      </w:r>
    </w:p>
    <w:p w14:paraId="321C04F9" w14:textId="77777777" w:rsidR="00CD7347" w:rsidRPr="00CD7347" w:rsidRDefault="00CD7347" w:rsidP="00D766E4">
      <w:pPr>
        <w:spacing w:after="0" w:line="300" w:lineRule="auto"/>
        <w:jc w:val="both"/>
        <w:rPr>
          <w:rFonts w:ascii="Arial" w:hAnsi="Arial" w:cs="Arial"/>
        </w:rPr>
      </w:pPr>
    </w:p>
    <w:p w14:paraId="1EC2423C" w14:textId="7F2DF95F" w:rsidR="00D766E4" w:rsidRPr="00130E9D" w:rsidRDefault="00130E9D" w:rsidP="00E11A53">
      <w:pPr>
        <w:pStyle w:val="Akapitzlist"/>
        <w:numPr>
          <w:ilvl w:val="0"/>
          <w:numId w:val="4"/>
        </w:numPr>
        <w:spacing w:after="0" w:line="300" w:lineRule="auto"/>
        <w:jc w:val="both"/>
        <w:rPr>
          <w:rFonts w:ascii="Arial" w:hAnsi="Arial" w:cs="Arial"/>
          <w:b/>
          <w:bCs/>
          <w:u w:val="single"/>
        </w:rPr>
      </w:pPr>
      <w:r w:rsidRPr="00130E9D">
        <w:rPr>
          <w:rFonts w:ascii="Arial" w:hAnsi="Arial" w:cs="Arial"/>
          <w:b/>
          <w:bCs/>
          <w:u w:val="single"/>
        </w:rPr>
        <w:t>P</w:t>
      </w:r>
      <w:r w:rsidRPr="00130E9D">
        <w:rPr>
          <w:rFonts w:ascii="Arial" w:hAnsi="Arial" w:cs="Arial"/>
          <w:b/>
          <w:bCs/>
          <w:u w:val="single"/>
        </w:rPr>
        <w:t>rojekt rozporządzenia Ministra Energii w sprawie szczegółowych warunków funkcjonowania systemu wodorowego (33).</w:t>
      </w:r>
    </w:p>
    <w:p w14:paraId="7D1644B7" w14:textId="77777777" w:rsidR="00D766E4" w:rsidRPr="00130E9D" w:rsidRDefault="00D766E4" w:rsidP="00130E9D">
      <w:pPr>
        <w:spacing w:after="0" w:line="300" w:lineRule="auto"/>
        <w:jc w:val="both"/>
        <w:rPr>
          <w:rFonts w:ascii="Arial" w:hAnsi="Arial" w:cs="Arial"/>
        </w:rPr>
      </w:pPr>
    </w:p>
    <w:p w14:paraId="04E41E12" w14:textId="77777777" w:rsidR="00130E9D" w:rsidRPr="00130E9D" w:rsidRDefault="00130E9D" w:rsidP="00130E9D">
      <w:pPr>
        <w:spacing w:after="0" w:line="300" w:lineRule="auto"/>
        <w:jc w:val="both"/>
        <w:rPr>
          <w:rFonts w:ascii="Arial" w:hAnsi="Arial" w:cs="Arial"/>
        </w:rPr>
      </w:pPr>
      <w:r w:rsidRPr="00130E9D">
        <w:rPr>
          <w:rFonts w:ascii="Arial" w:hAnsi="Arial" w:cs="Arial"/>
        </w:rPr>
        <w:t xml:space="preserve">Projekt rozporządzenia rozwiązuje problem braku, na poziomie wykonawczym, jednolitych i kompletnych przepisów określających szczegółowe warunki funkcjonowania systemu wodorowego, w tym w szczególności warunki przyłączenia do sieci wodorowej, świadczenia usług przesyłania, dystrybucji i magazynowania wodoru, zasady współpracy operatorskiej, zarządzania ograniczeniami oraz parametry jakościowe wodoru. </w:t>
      </w:r>
    </w:p>
    <w:p w14:paraId="3E62517C" w14:textId="77777777" w:rsidR="00130E9D" w:rsidRPr="00130E9D" w:rsidRDefault="00130E9D" w:rsidP="00130E9D">
      <w:pPr>
        <w:spacing w:after="0" w:line="300" w:lineRule="auto"/>
        <w:jc w:val="both"/>
        <w:rPr>
          <w:rFonts w:ascii="Arial" w:hAnsi="Arial" w:cs="Arial"/>
        </w:rPr>
      </w:pPr>
      <w:r w:rsidRPr="00130E9D">
        <w:rPr>
          <w:rFonts w:ascii="Arial" w:hAnsi="Arial" w:cs="Arial"/>
        </w:rPr>
        <w:t xml:space="preserve">Brak takiej regulacji powoduje ryzyko niejednolitych praktyk operatorów i inwestorów, w szczególności w zakresie warunków przyłączenia, wymagań dla punktów wejścia i wyjścia, procedur operacyjnych, parametrów jakościowych wodoru i reguł dotyczących rozliczeń. W konsekwencji utrudnia to planowanie i realizację inwestycji w infrastrukturę wodorową oraz </w:t>
      </w:r>
      <w:r w:rsidRPr="00130E9D">
        <w:rPr>
          <w:rFonts w:ascii="Arial" w:hAnsi="Arial" w:cs="Arial"/>
        </w:rPr>
        <w:lastRenderedPageBreak/>
        <w:t xml:space="preserve">przyłączanie instalacji produkcji, odbioru i magazynowania wodoru, sieci wodorowych oraz rurociągów bezpośrednich wodoru. </w:t>
      </w:r>
    </w:p>
    <w:p w14:paraId="5CDCDDAF" w14:textId="77777777" w:rsidR="00130E9D" w:rsidRPr="00130E9D" w:rsidRDefault="00130E9D" w:rsidP="00130E9D">
      <w:pPr>
        <w:spacing w:after="0" w:line="300" w:lineRule="auto"/>
        <w:jc w:val="both"/>
        <w:rPr>
          <w:rFonts w:ascii="Arial" w:hAnsi="Arial" w:cs="Arial"/>
        </w:rPr>
      </w:pPr>
      <w:r w:rsidRPr="00130E9D">
        <w:rPr>
          <w:rFonts w:ascii="Arial" w:hAnsi="Arial" w:cs="Arial"/>
        </w:rPr>
        <w:t>Rozporządzenie stanowi wykonanie upoważnienia zamieszczonego w art. 9 ust. 8a ustawy z dnia 10 kwietnia 1997 r. – Prawo energetyczne. Ma ono na celu zapewnienie spójnych, niedyskryminacyjnych i technicznie bezpiecznych ram regulacyjnych dla rozwoju rynku wodoru w Polsce, przy zachowaniu minimalnego i etapowego charakteru regulacji na obecnym etapie rozwoju tego rynku.</w:t>
      </w:r>
    </w:p>
    <w:p w14:paraId="20316209" w14:textId="77777777" w:rsidR="00130E9D" w:rsidRPr="00130E9D" w:rsidRDefault="00130E9D" w:rsidP="00130E9D">
      <w:pPr>
        <w:spacing w:after="0" w:line="300" w:lineRule="auto"/>
        <w:jc w:val="both"/>
        <w:rPr>
          <w:rFonts w:ascii="Arial" w:hAnsi="Arial" w:cs="Arial"/>
        </w:rPr>
      </w:pPr>
      <w:r w:rsidRPr="00130E9D">
        <w:rPr>
          <w:rFonts w:ascii="Arial" w:hAnsi="Arial" w:cs="Arial"/>
        </w:rPr>
        <w:t xml:space="preserve">Projekt rozporządzenia określa szczegółowe warunki funkcjonowania systemu wodorowego, w szczególności: </w:t>
      </w:r>
    </w:p>
    <w:p w14:paraId="218AB67B"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warunki przyłączenia do sieci wodorowej, w tym wymagania techniczne w zakresie przyłączania do sieci wodorowej instalacji magazynowej wodoru oraz innej sieci wodorowej; </w:t>
      </w:r>
    </w:p>
    <w:p w14:paraId="618763E6"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sposób prowadzenia obrotu wodorem; </w:t>
      </w:r>
    </w:p>
    <w:p w14:paraId="221058E1"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warunki świadczenia usług przesyłania wodoru, dystrybucji wodoru, magazynowania wodoru, prowadzenia ruchu sieciowego i eksploatacji sieci wodorowej oraz korzystania z systemu wodorowego i połączeń międzysystemowych; </w:t>
      </w:r>
    </w:p>
    <w:p w14:paraId="682E7FE9"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warunki współpracy pomiędzy operatorami systemów, w tym z innymi przedsiębiorstwami energetycznymi, w zakresie prowadzenia ruchu sieciowego oraz postępowania w sytuacjach awaryjnych; </w:t>
      </w:r>
    </w:p>
    <w:p w14:paraId="5AEDF51F"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zakres, warunki i sposób zarządzania ograniczeniami w systemie wodorowym; </w:t>
      </w:r>
    </w:p>
    <w:p w14:paraId="75E17A2E"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parametry jakościowe wodoru; </w:t>
      </w:r>
    </w:p>
    <w:p w14:paraId="66192155" w14:textId="77777777" w:rsidR="00130E9D" w:rsidRPr="00130E9D" w:rsidRDefault="00130E9D" w:rsidP="00130E9D">
      <w:pPr>
        <w:pStyle w:val="Akapitzlist"/>
        <w:numPr>
          <w:ilvl w:val="0"/>
          <w:numId w:val="18"/>
        </w:numPr>
        <w:spacing w:after="0" w:line="300" w:lineRule="auto"/>
        <w:ind w:left="567" w:hanging="283"/>
        <w:jc w:val="both"/>
        <w:rPr>
          <w:rFonts w:ascii="Arial" w:hAnsi="Arial" w:cs="Arial"/>
        </w:rPr>
      </w:pPr>
      <w:r w:rsidRPr="00130E9D">
        <w:rPr>
          <w:rFonts w:ascii="Arial" w:hAnsi="Arial" w:cs="Arial"/>
        </w:rPr>
        <w:t xml:space="preserve">w zakresie układów pomiarowo-rozliczeniowych oraz systemu rurociągów wodoru. </w:t>
      </w:r>
    </w:p>
    <w:p w14:paraId="6D20A5FF" w14:textId="77777777" w:rsidR="00130E9D" w:rsidRPr="00130E9D" w:rsidRDefault="00130E9D" w:rsidP="00130E9D">
      <w:pPr>
        <w:spacing w:after="0" w:line="300" w:lineRule="auto"/>
        <w:jc w:val="both"/>
        <w:rPr>
          <w:rFonts w:ascii="Arial" w:hAnsi="Arial" w:cs="Arial"/>
        </w:rPr>
      </w:pPr>
      <w:r w:rsidRPr="00130E9D">
        <w:rPr>
          <w:rFonts w:ascii="Arial" w:hAnsi="Arial" w:cs="Arial"/>
        </w:rPr>
        <w:t xml:space="preserve">Integralną część projektu stanowi załącznik techniczny określający minimalne wymagania w zakresie przyłączania do sieci przesyłowych i dystrybucyjnych wodoru instalacji produkcji, magazynowania i odbioru wodoru, sieci wodorowych oraz rurociągów bezpośrednich wodoru. Projekt odwołuje się w pierwszej kolejności do właściwych Polskich Norm wprowadzających normy europejskie lub międzynarodowe (PN-EN, PN-EN ISO, PN-EN IEC), a w przypadku braku właściwych norm – posiłkowo do uznanych kodeksów i wytycznych branżowych. </w:t>
      </w:r>
    </w:p>
    <w:p w14:paraId="2190B918" w14:textId="188D2BF6" w:rsidR="00130E9D" w:rsidRPr="00130E9D" w:rsidRDefault="00130E9D" w:rsidP="00130E9D">
      <w:pPr>
        <w:spacing w:after="0" w:line="300" w:lineRule="auto"/>
        <w:jc w:val="both"/>
        <w:rPr>
          <w:rFonts w:ascii="Arial" w:hAnsi="Arial" w:cs="Arial"/>
        </w:rPr>
      </w:pPr>
      <w:r w:rsidRPr="00130E9D">
        <w:rPr>
          <w:rFonts w:ascii="Arial" w:hAnsi="Arial" w:cs="Arial"/>
        </w:rPr>
        <w:t xml:space="preserve">Oczekiwanym efektem regulacji jest zwiększenie pewności prawa, ujednolicenie praktyki operatorskiej, ograniczenie </w:t>
      </w:r>
      <w:proofErr w:type="spellStart"/>
      <w:r w:rsidRPr="00130E9D">
        <w:rPr>
          <w:rFonts w:ascii="Arial" w:hAnsi="Arial" w:cs="Arial"/>
        </w:rPr>
        <w:t>ryzyk</w:t>
      </w:r>
      <w:proofErr w:type="spellEnd"/>
      <w:r w:rsidRPr="00130E9D">
        <w:rPr>
          <w:rFonts w:ascii="Arial" w:hAnsi="Arial" w:cs="Arial"/>
        </w:rPr>
        <w:t xml:space="preserve"> projektowych i eksploatacyjnych oraz stworzenie minimalnych i przewidywalnych ram dla rozwoju infrastruktury wodorowej w Polsce.</w:t>
      </w:r>
    </w:p>
    <w:p w14:paraId="1A973220" w14:textId="77777777" w:rsidR="00130E9D" w:rsidRDefault="00130E9D" w:rsidP="00D766E4">
      <w:pPr>
        <w:spacing w:after="0" w:line="300" w:lineRule="auto"/>
        <w:jc w:val="both"/>
        <w:rPr>
          <w:rFonts w:ascii="Arial" w:hAnsi="Arial" w:cs="Arial"/>
        </w:rPr>
      </w:pPr>
    </w:p>
    <w:p w14:paraId="069D786B" w14:textId="77777777" w:rsidR="00130E9D" w:rsidRPr="00130E9D" w:rsidRDefault="00130E9D" w:rsidP="00130E9D">
      <w:pPr>
        <w:spacing w:after="0" w:line="300" w:lineRule="auto"/>
        <w:jc w:val="both"/>
        <w:rPr>
          <w:rFonts w:ascii="Arial" w:hAnsi="Arial" w:cs="Arial"/>
        </w:rPr>
      </w:pPr>
      <w:r w:rsidRPr="00130E9D">
        <w:rPr>
          <w:rFonts w:ascii="Arial" w:hAnsi="Arial" w:cs="Arial"/>
        </w:rPr>
        <w:t xml:space="preserve">Przedmiotowy projekt aktu prawnego wraz Uzasadnieniem oraz Oceną Skutków Regulacji dostępny jest na stronach Rządowego Centrum Legislacji pod adresem: </w:t>
      </w:r>
    </w:p>
    <w:p w14:paraId="5E013664" w14:textId="6EF16A8E" w:rsidR="00130E9D" w:rsidRDefault="00130E9D" w:rsidP="00130E9D">
      <w:pPr>
        <w:spacing w:after="0" w:line="300" w:lineRule="auto"/>
        <w:jc w:val="both"/>
        <w:rPr>
          <w:rFonts w:ascii="Arial" w:hAnsi="Arial" w:cs="Arial"/>
        </w:rPr>
      </w:pPr>
      <w:hyperlink r:id="rId13" w:history="1">
        <w:r w:rsidRPr="007B50F9">
          <w:rPr>
            <w:rStyle w:val="Hipercze"/>
            <w:rFonts w:ascii="Arial" w:hAnsi="Arial" w:cs="Arial"/>
          </w:rPr>
          <w:t>https://legislacja.rcl.gov.pl/projekt/12413651/katalog/</w:t>
        </w:r>
        <w:r w:rsidRPr="007B50F9">
          <w:rPr>
            <w:rStyle w:val="Hipercze"/>
            <w:rFonts w:ascii="Arial" w:hAnsi="Arial" w:cs="Arial"/>
          </w:rPr>
          <w:t>1</w:t>
        </w:r>
        <w:r w:rsidRPr="007B50F9">
          <w:rPr>
            <w:rStyle w:val="Hipercze"/>
            <w:rFonts w:ascii="Arial" w:hAnsi="Arial" w:cs="Arial"/>
          </w:rPr>
          <w:t>3221806#13221806</w:t>
        </w:r>
      </w:hyperlink>
      <w:r>
        <w:rPr>
          <w:rFonts w:ascii="Arial" w:hAnsi="Arial" w:cs="Arial"/>
        </w:rPr>
        <w:t xml:space="preserve"> </w:t>
      </w:r>
    </w:p>
    <w:p w14:paraId="59280DA2" w14:textId="77777777" w:rsidR="00130E9D" w:rsidRDefault="00130E9D" w:rsidP="00D766E4">
      <w:pPr>
        <w:spacing w:after="0" w:line="300" w:lineRule="auto"/>
        <w:jc w:val="both"/>
        <w:rPr>
          <w:rFonts w:ascii="Arial" w:hAnsi="Arial" w:cs="Arial"/>
        </w:rPr>
      </w:pPr>
    </w:p>
    <w:p w14:paraId="095499F3" w14:textId="39C3D3F4" w:rsidR="00130E9D" w:rsidRDefault="00130E9D" w:rsidP="00D766E4">
      <w:pPr>
        <w:spacing w:after="0" w:line="300" w:lineRule="auto"/>
        <w:jc w:val="both"/>
        <w:rPr>
          <w:rFonts w:ascii="Arial" w:hAnsi="Arial" w:cs="Arial"/>
        </w:rPr>
      </w:pPr>
      <w:r w:rsidRPr="00130E9D">
        <w:rPr>
          <w:rFonts w:ascii="Arial" w:hAnsi="Arial" w:cs="Arial"/>
        </w:rPr>
        <w:t>Projekt jest obecnie jednocześnie na etapie uzgodnień, konsultacji publicznych i opiniowania.</w:t>
      </w:r>
    </w:p>
    <w:p w14:paraId="4C61EE8C" w14:textId="77777777" w:rsidR="00BD6958" w:rsidRDefault="00BD6958" w:rsidP="00D766E4">
      <w:pPr>
        <w:spacing w:after="0" w:line="300" w:lineRule="auto"/>
        <w:jc w:val="both"/>
        <w:rPr>
          <w:rFonts w:ascii="Arial" w:hAnsi="Arial" w:cs="Arial"/>
        </w:rPr>
      </w:pPr>
    </w:p>
    <w:p w14:paraId="536F679B" w14:textId="77777777" w:rsidR="00BD6958" w:rsidRDefault="00BD6958" w:rsidP="00D766E4">
      <w:pPr>
        <w:spacing w:after="0" w:line="300" w:lineRule="auto"/>
        <w:jc w:val="both"/>
        <w:rPr>
          <w:rFonts w:ascii="Arial" w:hAnsi="Arial" w:cs="Arial"/>
        </w:rPr>
      </w:pPr>
    </w:p>
    <w:p w14:paraId="4B72906B" w14:textId="77777777" w:rsidR="00BD6958" w:rsidRPr="0093222F" w:rsidRDefault="00BD6958" w:rsidP="00BD6958">
      <w:pPr>
        <w:spacing w:after="0" w:line="300" w:lineRule="auto"/>
        <w:rPr>
          <w:rFonts w:ascii="Arial" w:hAnsi="Arial" w:cs="Arial"/>
          <w:b/>
          <w:bCs/>
        </w:rPr>
      </w:pPr>
      <w:r w:rsidRPr="0093222F">
        <w:rPr>
          <w:rFonts w:ascii="Arial" w:hAnsi="Arial" w:cs="Arial"/>
          <w:b/>
          <w:bCs/>
        </w:rPr>
        <w:t>II. Stanowiska Związku Pracodawców Polska Miedź</w:t>
      </w:r>
    </w:p>
    <w:p w14:paraId="051B442C" w14:textId="77777777" w:rsidR="00BD6958" w:rsidRPr="0093222F" w:rsidRDefault="00BD6958" w:rsidP="00BD6958">
      <w:pPr>
        <w:spacing w:after="0" w:line="300" w:lineRule="auto"/>
        <w:rPr>
          <w:rFonts w:ascii="Arial" w:hAnsi="Arial" w:cs="Arial"/>
        </w:rPr>
      </w:pPr>
    </w:p>
    <w:p w14:paraId="021303A9" w14:textId="55658AB8" w:rsidR="00BD6958" w:rsidRPr="0093222F" w:rsidRDefault="00BD6958" w:rsidP="00BD6958">
      <w:pPr>
        <w:spacing w:after="0" w:line="300" w:lineRule="auto"/>
        <w:jc w:val="both"/>
        <w:rPr>
          <w:rFonts w:ascii="Arial" w:hAnsi="Arial" w:cs="Arial"/>
        </w:rPr>
      </w:pPr>
      <w:r w:rsidRPr="0093222F">
        <w:rPr>
          <w:rFonts w:ascii="Arial" w:hAnsi="Arial" w:cs="Arial"/>
        </w:rPr>
        <w:t xml:space="preserve">Na podstawie opinii i ekspertyz podmiotów członkowskich Związku Pracodawców Polska Miedź przygotowano </w:t>
      </w:r>
      <w:r>
        <w:rPr>
          <w:rFonts w:ascii="Arial" w:hAnsi="Arial" w:cs="Arial"/>
        </w:rPr>
        <w:t>dwa</w:t>
      </w:r>
      <w:r w:rsidRPr="0093222F">
        <w:rPr>
          <w:rFonts w:ascii="Arial" w:hAnsi="Arial" w:cs="Arial"/>
        </w:rPr>
        <w:t xml:space="preserve"> stanowisk</w:t>
      </w:r>
      <w:r>
        <w:rPr>
          <w:rFonts w:ascii="Arial" w:hAnsi="Arial" w:cs="Arial"/>
        </w:rPr>
        <w:t>a</w:t>
      </w:r>
      <w:r w:rsidRPr="0093222F">
        <w:rPr>
          <w:rFonts w:ascii="Arial" w:hAnsi="Arial" w:cs="Arial"/>
        </w:rPr>
        <w:t xml:space="preserve"> do opublikowanych projektów aktów prawnych oraz dokumentów strategicznych.</w:t>
      </w:r>
    </w:p>
    <w:p w14:paraId="2E801C4C" w14:textId="77777777" w:rsidR="00BD6958" w:rsidRPr="0093222F" w:rsidRDefault="00BD6958" w:rsidP="00BD6958">
      <w:pPr>
        <w:spacing w:after="0" w:line="300" w:lineRule="auto"/>
        <w:jc w:val="both"/>
        <w:rPr>
          <w:rFonts w:ascii="Arial" w:hAnsi="Arial" w:cs="Arial"/>
        </w:rPr>
      </w:pPr>
    </w:p>
    <w:p w14:paraId="03CA6868" w14:textId="1824C556" w:rsidR="00BD6958" w:rsidRPr="00833E77" w:rsidRDefault="00BD6958" w:rsidP="00BD6958">
      <w:pPr>
        <w:spacing w:after="0" w:line="300" w:lineRule="auto"/>
        <w:ind w:left="708"/>
        <w:jc w:val="both"/>
        <w:rPr>
          <w:rFonts w:ascii="Arial" w:hAnsi="Arial" w:cs="Arial"/>
          <w:b/>
          <w:bCs/>
          <w:u w:val="single"/>
        </w:rPr>
      </w:pPr>
      <w:r w:rsidRPr="00833E77">
        <w:rPr>
          <w:rFonts w:ascii="Arial" w:hAnsi="Arial" w:cs="Arial"/>
          <w:b/>
          <w:bCs/>
          <w:u w:val="single"/>
        </w:rPr>
        <w:t xml:space="preserve">Stanowisko Związku Pracodawców Polska Miedź (uwagi Związku Pracodawców Polska Miedź) do projektu </w:t>
      </w:r>
      <w:r w:rsidRPr="00BD6958">
        <w:rPr>
          <w:rFonts w:ascii="Arial" w:hAnsi="Arial" w:cs="Arial"/>
          <w:b/>
          <w:bCs/>
          <w:u w:val="single"/>
        </w:rPr>
        <w:t>ustawy o zmianie ustawy – Prawo energetyczne oraz ustawy o zmianie ustawy – Prawo energetyczne oraz niektórych innych ustaw</w:t>
      </w:r>
      <w:r w:rsidRPr="00833E77">
        <w:rPr>
          <w:rFonts w:ascii="Arial" w:hAnsi="Arial" w:cs="Arial"/>
          <w:b/>
          <w:bCs/>
          <w:u w:val="single"/>
        </w:rPr>
        <w:t>.</w:t>
      </w:r>
    </w:p>
    <w:p w14:paraId="07140B44" w14:textId="77777777" w:rsidR="00BD6958" w:rsidRPr="0093222F" w:rsidRDefault="00BD6958" w:rsidP="00BD6958">
      <w:pPr>
        <w:spacing w:after="0" w:line="300" w:lineRule="auto"/>
        <w:jc w:val="both"/>
        <w:rPr>
          <w:rFonts w:ascii="Arial" w:hAnsi="Arial" w:cs="Arial"/>
        </w:rPr>
      </w:pPr>
    </w:p>
    <w:p w14:paraId="2700ECFF" w14:textId="73C3F18C" w:rsidR="00BD6958" w:rsidRPr="0093222F" w:rsidRDefault="00BD6958" w:rsidP="00BD6958">
      <w:pPr>
        <w:spacing w:after="0" w:line="300" w:lineRule="auto"/>
        <w:jc w:val="both"/>
        <w:rPr>
          <w:rFonts w:ascii="Arial" w:hAnsi="Arial" w:cs="Arial"/>
        </w:rPr>
      </w:pPr>
      <w:r w:rsidRPr="0093222F">
        <w:rPr>
          <w:rFonts w:ascii="Arial" w:hAnsi="Arial" w:cs="Arial"/>
        </w:rPr>
        <w:t xml:space="preserve">Projekt z dnia </w:t>
      </w:r>
      <w:r>
        <w:rPr>
          <w:rFonts w:ascii="Arial" w:hAnsi="Arial" w:cs="Arial"/>
        </w:rPr>
        <w:t>5 sierpnia</w:t>
      </w:r>
      <w:r w:rsidRPr="0093222F">
        <w:rPr>
          <w:rFonts w:ascii="Arial" w:hAnsi="Arial" w:cs="Arial"/>
        </w:rPr>
        <w:t xml:space="preserve"> 2026 roku, opublikowany na stronie BIP Rządowego Centrum Legislacji w dniu</w:t>
      </w:r>
      <w:r>
        <w:rPr>
          <w:rFonts w:ascii="Arial" w:hAnsi="Arial" w:cs="Arial"/>
        </w:rPr>
        <w:t xml:space="preserve"> </w:t>
      </w:r>
      <w:r>
        <w:rPr>
          <w:rFonts w:ascii="Arial" w:hAnsi="Arial" w:cs="Arial"/>
        </w:rPr>
        <w:t>6 sierpnia</w:t>
      </w:r>
      <w:r w:rsidRPr="0093222F">
        <w:rPr>
          <w:rFonts w:ascii="Arial" w:hAnsi="Arial" w:cs="Arial"/>
        </w:rPr>
        <w:t xml:space="preserve"> 2026 roku (nr </w:t>
      </w:r>
      <w:r w:rsidRPr="00BD6958">
        <w:rPr>
          <w:rFonts w:ascii="Arial" w:hAnsi="Arial" w:cs="Arial"/>
        </w:rPr>
        <w:t>UD446</w:t>
      </w:r>
      <w:r w:rsidRPr="0093222F">
        <w:rPr>
          <w:rFonts w:ascii="Arial" w:hAnsi="Arial" w:cs="Arial"/>
        </w:rPr>
        <w:t xml:space="preserve"> w Wykazie prac legislacyjnych i programowych Rady Ministrów).</w:t>
      </w:r>
    </w:p>
    <w:p w14:paraId="6990BC70" w14:textId="77777777" w:rsidR="00BD6958" w:rsidRPr="00CB4A6E" w:rsidRDefault="00BD6958" w:rsidP="00BD6958">
      <w:pPr>
        <w:spacing w:after="0" w:line="300" w:lineRule="auto"/>
        <w:jc w:val="both"/>
        <w:rPr>
          <w:rFonts w:ascii="Arial" w:hAnsi="Arial" w:cs="Arial"/>
        </w:rPr>
      </w:pPr>
      <w:r w:rsidRPr="0093222F">
        <w:rPr>
          <w:rFonts w:ascii="Arial" w:hAnsi="Arial" w:cs="Arial"/>
        </w:rPr>
        <w:t>Przedmiotowe stanowisko zostało przesłane do Ministerstwo Energii oraz reprezentatywnych organizacji pracodawców, z którymi Związek Pracodawców Polska Miedź współpracuje.</w:t>
      </w:r>
    </w:p>
    <w:p w14:paraId="6CCE210A" w14:textId="77777777" w:rsidR="00E11A53" w:rsidRDefault="00E11A53" w:rsidP="00E11A53">
      <w:pPr>
        <w:spacing w:after="0" w:line="300" w:lineRule="auto"/>
        <w:jc w:val="both"/>
        <w:rPr>
          <w:rFonts w:ascii="Arial" w:hAnsi="Arial" w:cs="Arial"/>
          <w:bCs/>
        </w:rPr>
      </w:pPr>
    </w:p>
    <w:p w14:paraId="4443649E" w14:textId="1054BF6F" w:rsidR="00BD6958" w:rsidRPr="00BD6958" w:rsidRDefault="00BD6958" w:rsidP="00BD6958">
      <w:pPr>
        <w:spacing w:after="0" w:line="300" w:lineRule="auto"/>
        <w:ind w:left="708"/>
        <w:jc w:val="both"/>
        <w:rPr>
          <w:rFonts w:ascii="Arial" w:hAnsi="Arial" w:cs="Arial"/>
          <w:b/>
          <w:u w:val="single"/>
        </w:rPr>
      </w:pPr>
      <w:r w:rsidRPr="00BD6958">
        <w:rPr>
          <w:rFonts w:ascii="Arial" w:hAnsi="Arial" w:cs="Arial"/>
          <w:b/>
          <w:u w:val="single"/>
        </w:rPr>
        <w:t xml:space="preserve">Stanowisko Związku Pracodawców Polska Miedź (uwagi Związku Pracodawców Polska Miedź) do projektu </w:t>
      </w:r>
      <w:r w:rsidR="000B16CE" w:rsidRPr="000B16CE">
        <w:rPr>
          <w:rFonts w:ascii="Arial" w:hAnsi="Arial" w:cs="Arial"/>
          <w:b/>
          <w:u w:val="single"/>
        </w:rPr>
        <w:t>ustawy – Prawo własności przemysłowej</w:t>
      </w:r>
      <w:r w:rsidRPr="00BD6958">
        <w:rPr>
          <w:rFonts w:ascii="Arial" w:hAnsi="Arial" w:cs="Arial"/>
          <w:b/>
          <w:u w:val="single"/>
        </w:rPr>
        <w:t>.</w:t>
      </w:r>
    </w:p>
    <w:p w14:paraId="6877D0BF" w14:textId="77777777" w:rsidR="00BD6958" w:rsidRPr="00BD6958" w:rsidRDefault="00BD6958" w:rsidP="00BD6958">
      <w:pPr>
        <w:spacing w:after="0" w:line="300" w:lineRule="auto"/>
        <w:jc w:val="both"/>
        <w:rPr>
          <w:rFonts w:ascii="Arial" w:hAnsi="Arial" w:cs="Arial"/>
          <w:bCs/>
        </w:rPr>
      </w:pPr>
    </w:p>
    <w:p w14:paraId="579016F0" w14:textId="66BE272A" w:rsidR="00BD6958" w:rsidRPr="00BD6958" w:rsidRDefault="00BD6958" w:rsidP="00BD6958">
      <w:pPr>
        <w:spacing w:after="0" w:line="300" w:lineRule="auto"/>
        <w:jc w:val="both"/>
        <w:rPr>
          <w:rFonts w:ascii="Arial" w:hAnsi="Arial" w:cs="Arial"/>
          <w:bCs/>
        </w:rPr>
      </w:pPr>
      <w:r w:rsidRPr="00BD6958">
        <w:rPr>
          <w:rFonts w:ascii="Arial" w:hAnsi="Arial" w:cs="Arial"/>
          <w:bCs/>
        </w:rPr>
        <w:t xml:space="preserve">Projekt z dnia </w:t>
      </w:r>
      <w:r w:rsidR="000B16CE">
        <w:rPr>
          <w:rFonts w:ascii="Arial" w:hAnsi="Arial" w:cs="Arial"/>
          <w:bCs/>
        </w:rPr>
        <w:t>29 czerwca</w:t>
      </w:r>
      <w:r w:rsidRPr="00BD6958">
        <w:rPr>
          <w:rFonts w:ascii="Arial" w:hAnsi="Arial" w:cs="Arial"/>
          <w:bCs/>
        </w:rPr>
        <w:t xml:space="preserve"> 2026 roku, opublikowany na stronie BIP Rządowego Centrum Legislacji w dniu </w:t>
      </w:r>
      <w:r w:rsidR="000B16CE">
        <w:rPr>
          <w:rFonts w:ascii="Arial" w:hAnsi="Arial" w:cs="Arial"/>
          <w:bCs/>
        </w:rPr>
        <w:t>30 czerwca</w:t>
      </w:r>
      <w:r w:rsidRPr="00BD6958">
        <w:rPr>
          <w:rFonts w:ascii="Arial" w:hAnsi="Arial" w:cs="Arial"/>
          <w:bCs/>
        </w:rPr>
        <w:t xml:space="preserve"> 2026 roku (nr </w:t>
      </w:r>
      <w:r w:rsidR="000B16CE" w:rsidRPr="000B16CE">
        <w:rPr>
          <w:rFonts w:ascii="Arial" w:hAnsi="Arial" w:cs="Arial"/>
          <w:bCs/>
        </w:rPr>
        <w:t>UC81</w:t>
      </w:r>
      <w:r w:rsidRPr="00BD6958">
        <w:rPr>
          <w:rFonts w:ascii="Arial" w:hAnsi="Arial" w:cs="Arial"/>
          <w:bCs/>
        </w:rPr>
        <w:t xml:space="preserve"> w Wykazie prac legislacyjnych i programowych Rady Ministrów).</w:t>
      </w:r>
    </w:p>
    <w:p w14:paraId="75F7A47D" w14:textId="0F3F3E51" w:rsidR="00BD6958" w:rsidRPr="00CC391D" w:rsidRDefault="00BD6958" w:rsidP="00BD6958">
      <w:pPr>
        <w:spacing w:after="0" w:line="300" w:lineRule="auto"/>
        <w:jc w:val="both"/>
        <w:rPr>
          <w:rFonts w:ascii="Arial" w:hAnsi="Arial" w:cs="Arial"/>
          <w:bCs/>
        </w:rPr>
      </w:pPr>
      <w:r w:rsidRPr="00BD6958">
        <w:rPr>
          <w:rFonts w:ascii="Arial" w:hAnsi="Arial" w:cs="Arial"/>
          <w:bCs/>
        </w:rPr>
        <w:t xml:space="preserve">Przedmiotowe stanowisko zostało przesłane do </w:t>
      </w:r>
      <w:r w:rsidR="000B16CE" w:rsidRPr="000B16CE">
        <w:rPr>
          <w:rFonts w:ascii="Arial" w:hAnsi="Arial" w:cs="Arial"/>
          <w:bCs/>
        </w:rPr>
        <w:t>Urz</w:t>
      </w:r>
      <w:r w:rsidR="000B16CE">
        <w:rPr>
          <w:rFonts w:ascii="Arial" w:hAnsi="Arial" w:cs="Arial"/>
          <w:bCs/>
        </w:rPr>
        <w:t>ę</w:t>
      </w:r>
      <w:r w:rsidR="000B16CE" w:rsidRPr="000B16CE">
        <w:rPr>
          <w:rFonts w:ascii="Arial" w:hAnsi="Arial" w:cs="Arial"/>
          <w:bCs/>
        </w:rPr>
        <w:t>d</w:t>
      </w:r>
      <w:r w:rsidR="000B16CE">
        <w:rPr>
          <w:rFonts w:ascii="Arial" w:hAnsi="Arial" w:cs="Arial"/>
          <w:bCs/>
        </w:rPr>
        <w:t>u</w:t>
      </w:r>
      <w:r w:rsidR="000B16CE" w:rsidRPr="000B16CE">
        <w:rPr>
          <w:rFonts w:ascii="Arial" w:hAnsi="Arial" w:cs="Arial"/>
          <w:bCs/>
        </w:rPr>
        <w:t xml:space="preserve"> Patentow</w:t>
      </w:r>
      <w:r w:rsidR="000B16CE">
        <w:rPr>
          <w:rFonts w:ascii="Arial" w:hAnsi="Arial" w:cs="Arial"/>
          <w:bCs/>
        </w:rPr>
        <w:t>ego</w:t>
      </w:r>
      <w:r w:rsidR="000B16CE" w:rsidRPr="000B16CE">
        <w:rPr>
          <w:rFonts w:ascii="Arial" w:hAnsi="Arial" w:cs="Arial"/>
          <w:bCs/>
        </w:rPr>
        <w:t xml:space="preserve"> RP </w:t>
      </w:r>
      <w:r w:rsidRPr="00BD6958">
        <w:rPr>
          <w:rFonts w:ascii="Arial" w:hAnsi="Arial" w:cs="Arial"/>
          <w:bCs/>
        </w:rPr>
        <w:t>oraz reprezentatywnych organizacji pracodawców, z którymi Związek Pracodawców Polska Miedź współpracuje.</w:t>
      </w:r>
    </w:p>
    <w:p w14:paraId="3AD66C0D" w14:textId="77777777" w:rsidR="00E11A53" w:rsidRDefault="00E11A53" w:rsidP="00E11A53">
      <w:pPr>
        <w:spacing w:after="0" w:line="300" w:lineRule="auto"/>
        <w:rPr>
          <w:rFonts w:ascii="Arial" w:hAnsi="Arial" w:cs="Arial"/>
        </w:rPr>
      </w:pPr>
    </w:p>
    <w:p w14:paraId="7C1B0098" w14:textId="77777777" w:rsidR="00EA5E60" w:rsidRPr="00CB4A6E" w:rsidRDefault="00EA5E60" w:rsidP="00E11A53">
      <w:pPr>
        <w:spacing w:after="0" w:line="300" w:lineRule="auto"/>
        <w:rPr>
          <w:rFonts w:ascii="Arial" w:hAnsi="Arial" w:cs="Arial"/>
        </w:rPr>
      </w:pPr>
    </w:p>
    <w:p w14:paraId="4EFC0C75" w14:textId="32F2CA92" w:rsidR="00E11A53" w:rsidRDefault="00E11A53" w:rsidP="00E11A53">
      <w:pPr>
        <w:spacing w:after="0" w:line="300" w:lineRule="auto"/>
        <w:jc w:val="both"/>
        <w:rPr>
          <w:rFonts w:ascii="Arial" w:hAnsi="Arial" w:cs="Arial"/>
          <w:b/>
        </w:rPr>
      </w:pPr>
      <w:r>
        <w:rPr>
          <w:rFonts w:ascii="Arial" w:hAnsi="Arial" w:cs="Arial"/>
          <w:b/>
        </w:rPr>
        <w:t>I</w:t>
      </w:r>
      <w:r w:rsidR="00EA5E60">
        <w:rPr>
          <w:rFonts w:ascii="Arial" w:hAnsi="Arial" w:cs="Arial"/>
          <w:b/>
        </w:rPr>
        <w:t>I</w:t>
      </w:r>
      <w:r>
        <w:rPr>
          <w:rFonts w:ascii="Arial" w:hAnsi="Arial" w:cs="Arial"/>
          <w:b/>
        </w:rPr>
        <w:t>I. Ogłoszone akty prawne (Dziennik Ustaw RP)</w:t>
      </w:r>
    </w:p>
    <w:p w14:paraId="3676C743" w14:textId="77777777" w:rsidR="00E11A53" w:rsidRDefault="00E11A53" w:rsidP="00E11A53">
      <w:pPr>
        <w:spacing w:after="0" w:line="300" w:lineRule="auto"/>
        <w:jc w:val="both"/>
        <w:rPr>
          <w:rFonts w:ascii="Arial" w:hAnsi="Arial" w:cs="Arial"/>
        </w:rPr>
      </w:pPr>
    </w:p>
    <w:p w14:paraId="05C71841" w14:textId="75ADFBC4" w:rsidR="00E11A53" w:rsidRDefault="00E11A53" w:rsidP="00E11A53">
      <w:pPr>
        <w:spacing w:after="0" w:line="300" w:lineRule="auto"/>
        <w:jc w:val="both"/>
        <w:rPr>
          <w:rFonts w:ascii="Arial" w:hAnsi="Arial" w:cs="Arial"/>
        </w:rPr>
      </w:pPr>
      <w:r>
        <w:rPr>
          <w:rFonts w:ascii="Arial" w:hAnsi="Arial" w:cs="Arial"/>
        </w:rPr>
        <w:t xml:space="preserve">W analizowanym okresie ogłoszono </w:t>
      </w:r>
      <w:r w:rsidR="009F5F74">
        <w:rPr>
          <w:rFonts w:ascii="Arial" w:hAnsi="Arial" w:cs="Arial"/>
        </w:rPr>
        <w:t>44</w:t>
      </w:r>
      <w:r>
        <w:rPr>
          <w:rFonts w:ascii="Arial" w:hAnsi="Arial" w:cs="Arial"/>
        </w:rPr>
        <w:t xml:space="preserve"> akt</w:t>
      </w:r>
      <w:r w:rsidR="009F5F74">
        <w:rPr>
          <w:rFonts w:ascii="Arial" w:hAnsi="Arial" w:cs="Arial"/>
        </w:rPr>
        <w:t>y</w:t>
      </w:r>
      <w:r>
        <w:rPr>
          <w:rFonts w:ascii="Arial" w:hAnsi="Arial" w:cs="Arial"/>
        </w:rPr>
        <w:t xml:space="preserve"> prawn</w:t>
      </w:r>
      <w:r w:rsidR="009F5F74">
        <w:rPr>
          <w:rFonts w:ascii="Arial" w:hAnsi="Arial" w:cs="Arial"/>
        </w:rPr>
        <w:t>e</w:t>
      </w:r>
      <w:r>
        <w:rPr>
          <w:rFonts w:ascii="Arial" w:hAnsi="Arial" w:cs="Arial"/>
        </w:rPr>
        <w:t>, tzn. ustawy, rozporządzenia Rady Ministrów, Prezesa Rady Ministrów i poszczególnych ministrów, obwieszczenia w sprawie ogłoszenia tekstu jednolitego. Z powyższych publikacji w zainteresowaniu pracodawców i przedsiębiorców znaleźć się mogą następujące akty prawne:</w:t>
      </w:r>
    </w:p>
    <w:p w14:paraId="41FA30F5" w14:textId="77777777" w:rsidR="00E11A53" w:rsidRDefault="00E11A53" w:rsidP="00E11A53">
      <w:pPr>
        <w:spacing w:after="0" w:line="300" w:lineRule="auto"/>
        <w:jc w:val="both"/>
        <w:rPr>
          <w:rFonts w:ascii="Arial" w:hAnsi="Arial" w:cs="Arial"/>
        </w:rPr>
      </w:pPr>
    </w:p>
    <w:p w14:paraId="3634FB73" w14:textId="6D43E244" w:rsidR="00E11A53" w:rsidRPr="002F665F" w:rsidRDefault="002F665F" w:rsidP="00E11A53">
      <w:pPr>
        <w:pStyle w:val="Akapitzlist"/>
        <w:numPr>
          <w:ilvl w:val="0"/>
          <w:numId w:val="2"/>
        </w:numPr>
        <w:spacing w:after="0" w:line="300" w:lineRule="auto"/>
        <w:ind w:left="426" w:hanging="426"/>
        <w:jc w:val="both"/>
        <w:rPr>
          <w:rFonts w:ascii="Arial" w:hAnsi="Arial" w:cs="Arial"/>
          <w:b/>
          <w:bCs/>
          <w:u w:val="single"/>
        </w:rPr>
      </w:pPr>
      <w:r w:rsidRPr="002F665F">
        <w:rPr>
          <w:rFonts w:ascii="Arial" w:hAnsi="Arial" w:cs="Arial"/>
          <w:b/>
          <w:bCs/>
          <w:u w:val="single"/>
        </w:rPr>
        <w:t>Rozporządzenie Ministra Funduszy i Polityki Regionalnej z dnia 7 sierpnia 2026 r. w sprawie wykazu inwestycji w ramach Krajowego Planu Odbudowy i Zwiększania Odporności kwalifikujących się do objęcia wsparciem o charakterze bezzwrotnym oraz w ramach których wsparcie zwrotne przyznawane w formie pożyczki oraz pożyczki udzielane w ramach wsparcia zwrotnego, może podlegać umorzeniu</w:t>
      </w:r>
      <w:r w:rsidRPr="002F665F">
        <w:rPr>
          <w:rFonts w:ascii="Arial" w:hAnsi="Arial" w:cs="Arial"/>
          <w:b/>
          <w:bCs/>
          <w:u w:val="single"/>
        </w:rPr>
        <w:t>.</w:t>
      </w:r>
    </w:p>
    <w:p w14:paraId="668D5E99" w14:textId="77777777" w:rsidR="002F665F" w:rsidRDefault="002F665F" w:rsidP="002F665F">
      <w:pPr>
        <w:spacing w:after="0" w:line="300" w:lineRule="auto"/>
        <w:jc w:val="both"/>
        <w:rPr>
          <w:rFonts w:ascii="Arial" w:eastAsia="Times New Roman" w:hAnsi="Arial" w:cs="Arial"/>
          <w:lang w:eastAsia="pl-PL"/>
        </w:rPr>
      </w:pPr>
    </w:p>
    <w:p w14:paraId="299F3974" w14:textId="33D02077" w:rsidR="00E11A53" w:rsidRPr="002F665F" w:rsidRDefault="00E11A53" w:rsidP="002F665F">
      <w:pPr>
        <w:spacing w:after="0" w:line="300" w:lineRule="auto"/>
        <w:jc w:val="both"/>
        <w:rPr>
          <w:rFonts w:ascii="Arial" w:eastAsia="Times New Roman" w:hAnsi="Arial" w:cs="Arial"/>
          <w:lang w:eastAsia="pl-PL"/>
        </w:rPr>
      </w:pPr>
      <w:r w:rsidRPr="002F665F">
        <w:rPr>
          <w:rFonts w:ascii="Arial" w:eastAsia="Times New Roman" w:hAnsi="Arial" w:cs="Arial"/>
          <w:lang w:eastAsia="pl-PL"/>
        </w:rPr>
        <w:t xml:space="preserve">Powyższy akt prawny ogłoszony został </w:t>
      </w:r>
      <w:r w:rsidR="002F665F">
        <w:rPr>
          <w:rFonts w:ascii="Arial" w:eastAsia="Times New Roman" w:hAnsi="Arial" w:cs="Arial"/>
          <w:lang w:eastAsia="pl-PL"/>
        </w:rPr>
        <w:t>11 sierpnia</w:t>
      </w:r>
      <w:r w:rsidRPr="002F665F">
        <w:rPr>
          <w:rFonts w:ascii="Arial" w:eastAsia="Times New Roman" w:hAnsi="Arial" w:cs="Arial"/>
          <w:lang w:eastAsia="pl-PL"/>
        </w:rPr>
        <w:t xml:space="preserve"> 202</w:t>
      </w:r>
      <w:r w:rsidR="002F665F">
        <w:rPr>
          <w:rFonts w:ascii="Arial" w:eastAsia="Times New Roman" w:hAnsi="Arial" w:cs="Arial"/>
          <w:lang w:eastAsia="pl-PL"/>
        </w:rPr>
        <w:t>6</w:t>
      </w:r>
      <w:r w:rsidRPr="002F665F">
        <w:rPr>
          <w:rFonts w:ascii="Arial" w:eastAsia="Times New Roman" w:hAnsi="Arial" w:cs="Arial"/>
          <w:lang w:eastAsia="pl-PL"/>
        </w:rPr>
        <w:t xml:space="preserve"> roku w Dzienniku Ustaw (Dz.U. z 202</w:t>
      </w:r>
      <w:r w:rsidR="002F665F">
        <w:rPr>
          <w:rFonts w:ascii="Arial" w:eastAsia="Times New Roman" w:hAnsi="Arial" w:cs="Arial"/>
          <w:lang w:eastAsia="pl-PL"/>
        </w:rPr>
        <w:t>6</w:t>
      </w:r>
      <w:r w:rsidRPr="002F665F">
        <w:rPr>
          <w:rFonts w:ascii="Arial" w:eastAsia="Times New Roman" w:hAnsi="Arial" w:cs="Arial"/>
          <w:lang w:eastAsia="pl-PL"/>
        </w:rPr>
        <w:t xml:space="preserve">, poz. </w:t>
      </w:r>
      <w:r w:rsidR="002F665F">
        <w:rPr>
          <w:rFonts w:ascii="Arial" w:eastAsia="Times New Roman" w:hAnsi="Arial" w:cs="Arial"/>
          <w:lang w:eastAsia="pl-PL"/>
        </w:rPr>
        <w:t>1083</w:t>
      </w:r>
      <w:r w:rsidRPr="002F665F">
        <w:rPr>
          <w:rFonts w:ascii="Arial" w:eastAsia="Times New Roman" w:hAnsi="Arial" w:cs="Arial"/>
          <w:lang w:eastAsia="pl-PL"/>
        </w:rPr>
        <w:t>).</w:t>
      </w:r>
    </w:p>
    <w:p w14:paraId="0A9A3D96" w14:textId="77777777" w:rsidR="002F665F" w:rsidRDefault="002F665F" w:rsidP="002F665F">
      <w:pPr>
        <w:spacing w:after="0" w:line="300" w:lineRule="auto"/>
        <w:jc w:val="both"/>
        <w:rPr>
          <w:rFonts w:ascii="Arial" w:eastAsia="Times New Roman" w:hAnsi="Arial" w:cs="Arial"/>
          <w:lang w:eastAsia="pl-PL"/>
        </w:rPr>
      </w:pPr>
    </w:p>
    <w:p w14:paraId="5C6BE657" w14:textId="42341F90" w:rsidR="00E11A53" w:rsidRDefault="002F665F" w:rsidP="002F665F">
      <w:pPr>
        <w:spacing w:after="0" w:line="300" w:lineRule="auto"/>
        <w:jc w:val="both"/>
        <w:rPr>
          <w:rFonts w:ascii="Arial" w:eastAsia="Times New Roman" w:hAnsi="Arial" w:cs="Arial"/>
          <w:lang w:eastAsia="pl-PL"/>
        </w:rPr>
      </w:pPr>
      <w:r w:rsidRPr="002F665F">
        <w:rPr>
          <w:rFonts w:ascii="Arial" w:eastAsia="Times New Roman" w:hAnsi="Arial" w:cs="Arial"/>
          <w:lang w:eastAsia="pl-PL"/>
        </w:rPr>
        <w:t>Rozporządzenie zostało wydane na podstawie</w:t>
      </w:r>
      <w:r>
        <w:rPr>
          <w:rFonts w:ascii="Arial" w:eastAsia="Times New Roman" w:hAnsi="Arial" w:cs="Arial"/>
          <w:lang w:eastAsia="pl-PL"/>
        </w:rPr>
        <w:t xml:space="preserve"> </w:t>
      </w:r>
      <w:r w:rsidRPr="002F665F">
        <w:rPr>
          <w:rFonts w:ascii="Arial" w:eastAsia="Times New Roman" w:hAnsi="Arial" w:cs="Arial"/>
          <w:lang w:eastAsia="pl-PL"/>
        </w:rPr>
        <w:t>art. 14</w:t>
      </w:r>
      <w:r>
        <w:rPr>
          <w:rFonts w:ascii="Arial" w:eastAsia="Times New Roman" w:hAnsi="Arial" w:cs="Arial"/>
          <w:lang w:eastAsia="pl-PL"/>
        </w:rPr>
        <w:t>ll</w:t>
      </w:r>
      <w:r w:rsidRPr="002F665F">
        <w:rPr>
          <w:rFonts w:ascii="Arial" w:eastAsia="Times New Roman" w:hAnsi="Arial" w:cs="Arial"/>
          <w:lang w:eastAsia="pl-PL"/>
        </w:rPr>
        <w:t xml:space="preserve"> ust. 8 ustawy z dnia 6 grudnia 2006 r. o zasadach prowadzenia polityki rozwoju (Dz. U. z 2025 r. poz. 198 i 1846)</w:t>
      </w:r>
      <w:r>
        <w:rPr>
          <w:rFonts w:ascii="Arial" w:eastAsia="Times New Roman" w:hAnsi="Arial" w:cs="Arial"/>
          <w:lang w:eastAsia="pl-PL"/>
        </w:rPr>
        <w:t>.</w:t>
      </w:r>
    </w:p>
    <w:p w14:paraId="7369983A" w14:textId="11449120" w:rsidR="005E2523" w:rsidRDefault="005E2523" w:rsidP="002F665F">
      <w:pPr>
        <w:spacing w:after="0" w:line="300" w:lineRule="auto"/>
        <w:jc w:val="both"/>
        <w:rPr>
          <w:rFonts w:ascii="Arial" w:eastAsia="Times New Roman" w:hAnsi="Arial" w:cs="Arial"/>
          <w:lang w:eastAsia="pl-PL"/>
        </w:rPr>
      </w:pPr>
      <w:r>
        <w:rPr>
          <w:rFonts w:ascii="Arial" w:eastAsia="Times New Roman" w:hAnsi="Arial" w:cs="Arial"/>
          <w:lang w:eastAsia="pl-PL"/>
        </w:rPr>
        <w:t>Rozporządzenie określa wykaz inwestycji w ramach Krajowego Planu Odbudowy i Zwiększenia Odporności:</w:t>
      </w:r>
    </w:p>
    <w:p w14:paraId="69E8C7EC" w14:textId="5FB2E4DB" w:rsidR="005E2523" w:rsidRDefault="005E2523" w:rsidP="005E2523">
      <w:pPr>
        <w:pStyle w:val="Akapitzlist"/>
        <w:numPr>
          <w:ilvl w:val="0"/>
          <w:numId w:val="20"/>
        </w:numPr>
        <w:spacing w:after="0" w:line="300" w:lineRule="auto"/>
        <w:jc w:val="both"/>
        <w:rPr>
          <w:rFonts w:ascii="Arial" w:eastAsia="Times New Roman" w:hAnsi="Arial" w:cs="Arial"/>
          <w:lang w:eastAsia="pl-PL"/>
        </w:rPr>
      </w:pPr>
      <w:r>
        <w:rPr>
          <w:rFonts w:ascii="Arial" w:eastAsia="Times New Roman" w:hAnsi="Arial" w:cs="Arial"/>
          <w:lang w:eastAsia="pl-PL"/>
        </w:rPr>
        <w:t>Kwalifikujących się do objęcia wsparciem zgodnie z ustawą o zasadach prowadzenia polityki rozwoju.</w:t>
      </w:r>
    </w:p>
    <w:p w14:paraId="18FD02C2" w14:textId="74FF12AB" w:rsidR="005E2523" w:rsidRPr="005E2523" w:rsidRDefault="005E2523" w:rsidP="005E2523">
      <w:pPr>
        <w:pStyle w:val="Akapitzlist"/>
        <w:numPr>
          <w:ilvl w:val="0"/>
          <w:numId w:val="20"/>
        </w:numPr>
        <w:spacing w:after="0" w:line="300" w:lineRule="auto"/>
        <w:jc w:val="both"/>
        <w:rPr>
          <w:rFonts w:ascii="Arial" w:eastAsia="Times New Roman" w:hAnsi="Arial" w:cs="Arial"/>
          <w:lang w:eastAsia="pl-PL"/>
        </w:rPr>
      </w:pPr>
      <w:r>
        <w:rPr>
          <w:rFonts w:ascii="Arial" w:eastAsia="Times New Roman" w:hAnsi="Arial" w:cs="Arial"/>
          <w:lang w:eastAsia="pl-PL"/>
        </w:rPr>
        <w:lastRenderedPageBreak/>
        <w:t>W ramach których wsparcie zwrotne przyznane w formie pożyczki zgodnie z ustawą, o której mowa powyżej.</w:t>
      </w:r>
    </w:p>
    <w:p w14:paraId="544C2CE2" w14:textId="40FACCBE" w:rsidR="002F665F" w:rsidRPr="002F665F" w:rsidRDefault="002F665F" w:rsidP="002F665F">
      <w:pPr>
        <w:spacing w:after="0" w:line="300" w:lineRule="auto"/>
        <w:jc w:val="both"/>
        <w:rPr>
          <w:rFonts w:ascii="Arial" w:eastAsia="Times New Roman" w:hAnsi="Arial" w:cs="Arial"/>
          <w:lang w:eastAsia="pl-PL"/>
        </w:rPr>
      </w:pPr>
      <w:r w:rsidRPr="002F665F">
        <w:rPr>
          <w:rFonts w:ascii="Arial" w:eastAsia="Times New Roman" w:hAnsi="Arial" w:cs="Arial"/>
          <w:lang w:eastAsia="pl-PL"/>
        </w:rPr>
        <w:t>Wykaz inwestycji</w:t>
      </w:r>
      <w:r w:rsidRPr="002F665F">
        <w:rPr>
          <w:rFonts w:ascii="Arial" w:eastAsia="Times New Roman" w:hAnsi="Arial" w:cs="Arial"/>
          <w:lang w:eastAsia="pl-PL"/>
        </w:rPr>
        <w:t xml:space="preserve"> </w:t>
      </w:r>
      <w:r w:rsidRPr="002F665F">
        <w:rPr>
          <w:rFonts w:ascii="Arial" w:eastAsia="Times New Roman" w:hAnsi="Arial" w:cs="Arial"/>
          <w:lang w:eastAsia="pl-PL"/>
        </w:rPr>
        <w:t xml:space="preserve">stanowi załącznik do rozporządzenia. </w:t>
      </w:r>
    </w:p>
    <w:p w14:paraId="2BEE4718" w14:textId="77777777" w:rsidR="002F665F" w:rsidRDefault="002F665F" w:rsidP="002F665F">
      <w:pPr>
        <w:spacing w:after="0" w:line="300" w:lineRule="auto"/>
        <w:jc w:val="both"/>
        <w:rPr>
          <w:rFonts w:ascii="Arial" w:eastAsia="Times New Roman" w:hAnsi="Arial" w:cs="Arial"/>
          <w:lang w:eastAsia="pl-PL"/>
        </w:rPr>
      </w:pPr>
    </w:p>
    <w:p w14:paraId="2B22268C" w14:textId="6BD0DAAD" w:rsidR="002F665F" w:rsidRPr="002F665F" w:rsidRDefault="002F665F" w:rsidP="002F665F">
      <w:pPr>
        <w:spacing w:after="0" w:line="300" w:lineRule="auto"/>
        <w:jc w:val="both"/>
        <w:rPr>
          <w:rFonts w:ascii="Arial" w:eastAsia="Times New Roman" w:hAnsi="Arial" w:cs="Arial"/>
          <w:lang w:eastAsia="pl-PL"/>
        </w:rPr>
      </w:pPr>
      <w:r w:rsidRPr="002F665F">
        <w:rPr>
          <w:rFonts w:ascii="Arial" w:eastAsia="Times New Roman" w:hAnsi="Arial" w:cs="Arial"/>
          <w:lang w:eastAsia="pl-PL"/>
        </w:rPr>
        <w:t>Rozporządzenie w</w:t>
      </w:r>
      <w:r>
        <w:rPr>
          <w:rFonts w:ascii="Arial" w:eastAsia="Times New Roman" w:hAnsi="Arial" w:cs="Arial"/>
          <w:lang w:eastAsia="pl-PL"/>
        </w:rPr>
        <w:t>eszło</w:t>
      </w:r>
      <w:r w:rsidRPr="002F665F">
        <w:rPr>
          <w:rFonts w:ascii="Arial" w:eastAsia="Times New Roman" w:hAnsi="Arial" w:cs="Arial"/>
          <w:lang w:eastAsia="pl-PL"/>
        </w:rPr>
        <w:t> w życie z dniem następującym po dniu ogłoszenia</w:t>
      </w:r>
    </w:p>
    <w:p w14:paraId="1EB4547A" w14:textId="77777777" w:rsidR="00E11A53" w:rsidRDefault="00E11A53" w:rsidP="00E11A53">
      <w:pPr>
        <w:spacing w:after="0" w:line="300" w:lineRule="auto"/>
        <w:jc w:val="both"/>
        <w:rPr>
          <w:rFonts w:ascii="Arial" w:hAnsi="Arial" w:cs="Arial"/>
        </w:rPr>
      </w:pPr>
    </w:p>
    <w:p w14:paraId="07198BB7" w14:textId="4BD40B7E" w:rsidR="00E11A53" w:rsidRPr="00672E9E" w:rsidRDefault="00672E9E" w:rsidP="00E11A53">
      <w:pPr>
        <w:pStyle w:val="Akapitzlist"/>
        <w:numPr>
          <w:ilvl w:val="0"/>
          <w:numId w:val="2"/>
        </w:numPr>
        <w:spacing w:after="0" w:line="300" w:lineRule="auto"/>
        <w:ind w:left="426" w:hanging="426"/>
        <w:jc w:val="both"/>
        <w:rPr>
          <w:rFonts w:ascii="Arial" w:eastAsia="Times New Roman" w:hAnsi="Arial" w:cs="Arial"/>
          <w:b/>
          <w:bCs/>
          <w:u w:val="single"/>
          <w:lang w:eastAsia="pl-PL"/>
        </w:rPr>
      </w:pPr>
      <w:r w:rsidRPr="00672E9E">
        <w:rPr>
          <w:rFonts w:ascii="Arial" w:hAnsi="Arial" w:cs="Arial"/>
          <w:b/>
          <w:bCs/>
          <w:u w:val="single"/>
        </w:rPr>
        <w:t>Rozporządzenie Ministra Klimatu i Środowiska z dnia 8 sierpnia 2026 r. w sprawie planu obszarów przyspieszonego rozwoju instalacji odnawialnego źródła energii</w:t>
      </w:r>
      <w:r w:rsidR="00E11A53" w:rsidRPr="00672E9E">
        <w:rPr>
          <w:rFonts w:ascii="Arial" w:hAnsi="Arial" w:cs="Arial"/>
          <w:b/>
          <w:bCs/>
          <w:u w:val="single"/>
        </w:rPr>
        <w:t xml:space="preserve">. </w:t>
      </w:r>
    </w:p>
    <w:p w14:paraId="75DDCCA5" w14:textId="77777777" w:rsidR="00672E9E" w:rsidRDefault="00672E9E" w:rsidP="00672E9E">
      <w:pPr>
        <w:spacing w:after="0" w:line="300" w:lineRule="auto"/>
        <w:jc w:val="both"/>
        <w:rPr>
          <w:rFonts w:ascii="Arial" w:eastAsia="Times New Roman" w:hAnsi="Arial" w:cs="Arial"/>
          <w:lang w:eastAsia="pl-PL"/>
        </w:rPr>
      </w:pPr>
    </w:p>
    <w:p w14:paraId="7A119237" w14:textId="05675D04" w:rsidR="00E11A53" w:rsidRPr="00287656" w:rsidRDefault="00E11A53" w:rsidP="00672E9E">
      <w:pPr>
        <w:spacing w:after="0" w:line="300" w:lineRule="auto"/>
        <w:jc w:val="both"/>
        <w:rPr>
          <w:rFonts w:ascii="Arial" w:eastAsia="Times New Roman" w:hAnsi="Arial" w:cs="Arial"/>
          <w:lang w:eastAsia="pl-PL"/>
        </w:rPr>
      </w:pPr>
      <w:r w:rsidRPr="00287656">
        <w:rPr>
          <w:rFonts w:ascii="Arial" w:eastAsia="Times New Roman" w:hAnsi="Arial" w:cs="Arial"/>
          <w:lang w:eastAsia="pl-PL"/>
        </w:rPr>
        <w:t>Powyższy akt prawny o</w:t>
      </w:r>
      <w:r>
        <w:rPr>
          <w:rFonts w:ascii="Arial" w:eastAsia="Times New Roman" w:hAnsi="Arial" w:cs="Arial"/>
          <w:lang w:eastAsia="pl-PL"/>
        </w:rPr>
        <w:t>głoszony</w:t>
      </w:r>
      <w:r w:rsidRPr="00287656">
        <w:rPr>
          <w:rFonts w:ascii="Arial" w:eastAsia="Times New Roman" w:hAnsi="Arial" w:cs="Arial"/>
          <w:lang w:eastAsia="pl-PL"/>
        </w:rPr>
        <w:t xml:space="preserve"> został </w:t>
      </w:r>
      <w:r w:rsidR="00211341">
        <w:rPr>
          <w:rFonts w:ascii="Arial" w:eastAsia="Times New Roman" w:hAnsi="Arial" w:cs="Arial"/>
          <w:lang w:eastAsia="pl-PL"/>
        </w:rPr>
        <w:t>13 sierpnia</w:t>
      </w:r>
      <w:r w:rsidRPr="00287656">
        <w:rPr>
          <w:rFonts w:ascii="Arial" w:eastAsia="Times New Roman" w:hAnsi="Arial" w:cs="Arial"/>
          <w:lang w:eastAsia="pl-PL"/>
        </w:rPr>
        <w:t xml:space="preserve"> 20</w:t>
      </w:r>
      <w:r>
        <w:rPr>
          <w:rFonts w:ascii="Arial" w:eastAsia="Times New Roman" w:hAnsi="Arial" w:cs="Arial"/>
          <w:lang w:eastAsia="pl-PL"/>
        </w:rPr>
        <w:t>2</w:t>
      </w:r>
      <w:r w:rsidR="00211341">
        <w:rPr>
          <w:rFonts w:ascii="Arial" w:eastAsia="Times New Roman" w:hAnsi="Arial" w:cs="Arial"/>
          <w:lang w:eastAsia="pl-PL"/>
        </w:rPr>
        <w:t>6</w:t>
      </w:r>
      <w:r w:rsidRPr="00287656">
        <w:rPr>
          <w:rFonts w:ascii="Arial" w:eastAsia="Times New Roman" w:hAnsi="Arial" w:cs="Arial"/>
          <w:lang w:eastAsia="pl-PL"/>
        </w:rPr>
        <w:t xml:space="preserve"> roku w Dzienniku Ustaw (Dz.U. z 202</w:t>
      </w:r>
      <w:r w:rsidR="00211341">
        <w:rPr>
          <w:rFonts w:ascii="Arial" w:eastAsia="Times New Roman" w:hAnsi="Arial" w:cs="Arial"/>
          <w:lang w:eastAsia="pl-PL"/>
        </w:rPr>
        <w:t>6</w:t>
      </w:r>
      <w:r w:rsidRPr="00287656">
        <w:rPr>
          <w:rFonts w:ascii="Arial" w:eastAsia="Times New Roman" w:hAnsi="Arial" w:cs="Arial"/>
          <w:lang w:eastAsia="pl-PL"/>
        </w:rPr>
        <w:t xml:space="preserve">, poz. </w:t>
      </w:r>
      <w:r w:rsidR="00211341">
        <w:rPr>
          <w:rFonts w:ascii="Arial" w:eastAsia="Times New Roman" w:hAnsi="Arial" w:cs="Arial"/>
          <w:lang w:eastAsia="pl-PL"/>
        </w:rPr>
        <w:t>1093</w:t>
      </w:r>
      <w:r w:rsidRPr="00287656">
        <w:rPr>
          <w:rFonts w:ascii="Arial" w:eastAsia="Times New Roman" w:hAnsi="Arial" w:cs="Arial"/>
          <w:lang w:eastAsia="pl-PL"/>
        </w:rPr>
        <w:t>).</w:t>
      </w:r>
    </w:p>
    <w:p w14:paraId="0DD6D5C7" w14:textId="77777777" w:rsidR="00672E9E" w:rsidRDefault="00672E9E" w:rsidP="00672E9E">
      <w:pPr>
        <w:spacing w:after="0" w:line="300" w:lineRule="auto"/>
        <w:jc w:val="both"/>
        <w:rPr>
          <w:rFonts w:ascii="Arial" w:eastAsia="Times New Roman" w:hAnsi="Arial" w:cs="Arial"/>
          <w:lang w:eastAsia="pl-PL"/>
        </w:rPr>
      </w:pPr>
    </w:p>
    <w:p w14:paraId="0F2344AA" w14:textId="1E78BECF" w:rsidR="00E11A53" w:rsidRDefault="003B3320" w:rsidP="00672E9E">
      <w:pPr>
        <w:spacing w:after="0" w:line="300" w:lineRule="auto"/>
        <w:jc w:val="both"/>
        <w:rPr>
          <w:rFonts w:ascii="Arial" w:eastAsia="Times New Roman" w:hAnsi="Arial" w:cs="Arial"/>
          <w:lang w:eastAsia="pl-PL"/>
        </w:rPr>
      </w:pPr>
      <w:r w:rsidRPr="003B3320">
        <w:rPr>
          <w:rFonts w:ascii="Arial" w:eastAsia="Times New Roman" w:hAnsi="Arial" w:cs="Arial"/>
          <w:lang w:eastAsia="pl-PL"/>
        </w:rPr>
        <w:t>Rozporządzenie zostało wydane na podstawie</w:t>
      </w:r>
      <w:r>
        <w:rPr>
          <w:rFonts w:ascii="Arial" w:eastAsia="Times New Roman" w:hAnsi="Arial" w:cs="Arial"/>
          <w:lang w:eastAsia="pl-PL"/>
        </w:rPr>
        <w:t xml:space="preserve"> </w:t>
      </w:r>
      <w:r w:rsidRPr="003B3320">
        <w:rPr>
          <w:rFonts w:ascii="Arial" w:eastAsia="Times New Roman" w:hAnsi="Arial" w:cs="Arial"/>
          <w:lang w:eastAsia="pl-PL"/>
        </w:rPr>
        <w:t>art. 160g ust. 6 ustawy z dnia 20 lutego 2015 r. o odnawialnych źródłach energii (Dz. U. z 2026 r. poz. 68, 516, 900 i 912)</w:t>
      </w:r>
      <w:r>
        <w:rPr>
          <w:rFonts w:ascii="Arial" w:eastAsia="Times New Roman" w:hAnsi="Arial" w:cs="Arial"/>
          <w:lang w:eastAsia="pl-PL"/>
        </w:rPr>
        <w:t>.</w:t>
      </w:r>
    </w:p>
    <w:p w14:paraId="76130E31" w14:textId="77777777" w:rsidR="003B3320" w:rsidRDefault="003B3320" w:rsidP="00672E9E">
      <w:pPr>
        <w:spacing w:after="0" w:line="300" w:lineRule="auto"/>
        <w:jc w:val="both"/>
        <w:rPr>
          <w:rFonts w:ascii="Arial" w:eastAsia="Times New Roman" w:hAnsi="Arial" w:cs="Arial"/>
          <w:lang w:eastAsia="pl-PL"/>
        </w:rPr>
      </w:pPr>
      <w:r w:rsidRPr="003B3320">
        <w:rPr>
          <w:rFonts w:ascii="Arial" w:eastAsia="Times New Roman" w:hAnsi="Arial" w:cs="Arial"/>
          <w:lang w:eastAsia="pl-PL"/>
        </w:rPr>
        <w:t xml:space="preserve">Rozporządzenie określa sposób: </w:t>
      </w:r>
    </w:p>
    <w:p w14:paraId="2AFB9A15" w14:textId="389BB756" w:rsidR="003B3320" w:rsidRPr="003B3320" w:rsidRDefault="003B3320" w:rsidP="003B3320">
      <w:pPr>
        <w:pStyle w:val="Akapitzlist"/>
        <w:numPr>
          <w:ilvl w:val="0"/>
          <w:numId w:val="21"/>
        </w:numPr>
        <w:spacing w:after="0" w:line="300" w:lineRule="auto"/>
        <w:jc w:val="both"/>
        <w:rPr>
          <w:rFonts w:ascii="Arial" w:eastAsia="Times New Roman" w:hAnsi="Arial" w:cs="Arial"/>
          <w:lang w:eastAsia="pl-PL"/>
        </w:rPr>
      </w:pPr>
      <w:r w:rsidRPr="003B3320">
        <w:rPr>
          <w:rFonts w:ascii="Arial" w:eastAsia="Times New Roman" w:hAnsi="Arial" w:cs="Arial"/>
          <w:lang w:eastAsia="pl-PL"/>
        </w:rPr>
        <w:t xml:space="preserve">przygotowania projektu planu obszarów przyspieszonego rozwoju instalacji odnawialnego źródła energii; </w:t>
      </w:r>
    </w:p>
    <w:p w14:paraId="4A6BC485" w14:textId="4019B575" w:rsidR="003B3320" w:rsidRPr="003B3320" w:rsidRDefault="003B3320" w:rsidP="003B3320">
      <w:pPr>
        <w:pStyle w:val="Akapitzlist"/>
        <w:numPr>
          <w:ilvl w:val="0"/>
          <w:numId w:val="21"/>
        </w:numPr>
        <w:spacing w:after="0" w:line="300" w:lineRule="auto"/>
        <w:jc w:val="both"/>
        <w:rPr>
          <w:rFonts w:ascii="Arial" w:eastAsia="Times New Roman" w:hAnsi="Arial" w:cs="Arial"/>
          <w:lang w:eastAsia="pl-PL"/>
        </w:rPr>
      </w:pPr>
      <w:r w:rsidRPr="003B3320">
        <w:rPr>
          <w:rFonts w:ascii="Arial" w:eastAsia="Times New Roman" w:hAnsi="Arial" w:cs="Arial"/>
          <w:lang w:eastAsia="pl-PL"/>
        </w:rPr>
        <w:t>dokumentowania prac w zakresie planu</w:t>
      </w:r>
      <w:r w:rsidRPr="003B3320">
        <w:rPr>
          <w:rFonts w:ascii="Arial" w:eastAsia="Times New Roman" w:hAnsi="Arial" w:cs="Arial"/>
          <w:lang w:eastAsia="pl-PL"/>
        </w:rPr>
        <w:t>.</w:t>
      </w:r>
    </w:p>
    <w:p w14:paraId="0B92CB43" w14:textId="77777777" w:rsidR="003B3320" w:rsidRDefault="003B3320" w:rsidP="00672E9E">
      <w:pPr>
        <w:spacing w:after="0" w:line="300" w:lineRule="auto"/>
        <w:jc w:val="both"/>
        <w:rPr>
          <w:rFonts w:ascii="Arial" w:eastAsia="Times New Roman" w:hAnsi="Arial" w:cs="Arial"/>
          <w:lang w:eastAsia="pl-PL"/>
        </w:rPr>
      </w:pPr>
    </w:p>
    <w:p w14:paraId="3E8EA4BC" w14:textId="1F146D1A" w:rsidR="003B3320" w:rsidRPr="00287656" w:rsidRDefault="003B3320" w:rsidP="00672E9E">
      <w:pPr>
        <w:spacing w:after="0" w:line="300" w:lineRule="auto"/>
        <w:jc w:val="both"/>
        <w:rPr>
          <w:rFonts w:ascii="Arial" w:eastAsia="Times New Roman" w:hAnsi="Arial" w:cs="Arial"/>
          <w:lang w:eastAsia="pl-PL"/>
        </w:rPr>
      </w:pPr>
      <w:r w:rsidRPr="003B3320">
        <w:rPr>
          <w:rFonts w:ascii="Arial" w:eastAsia="Times New Roman" w:hAnsi="Arial" w:cs="Arial"/>
          <w:lang w:eastAsia="pl-PL"/>
        </w:rPr>
        <w:t>Rozporządzenie wchodzi w życie po upływie 14 dni od dnia ogłoszenia</w:t>
      </w:r>
      <w:r>
        <w:rPr>
          <w:rFonts w:ascii="Arial" w:eastAsia="Times New Roman" w:hAnsi="Arial" w:cs="Arial"/>
          <w:lang w:eastAsia="pl-PL"/>
        </w:rPr>
        <w:t>.</w:t>
      </w:r>
    </w:p>
    <w:p w14:paraId="4BF67BEA" w14:textId="77777777" w:rsidR="00E11A53" w:rsidRPr="003B3320" w:rsidRDefault="00E11A53" w:rsidP="003B3320">
      <w:pPr>
        <w:spacing w:after="0" w:line="300" w:lineRule="auto"/>
        <w:jc w:val="both"/>
        <w:rPr>
          <w:rStyle w:val="markedcontent"/>
          <w:rFonts w:ascii="Arial" w:eastAsia="Times New Roman" w:hAnsi="Arial" w:cs="Arial"/>
          <w:u w:val="single"/>
          <w:lang w:eastAsia="pl-PL"/>
        </w:rPr>
      </w:pPr>
    </w:p>
    <w:p w14:paraId="49FCA2FD" w14:textId="5DB84052" w:rsidR="00E11A53" w:rsidRPr="003F4BBE" w:rsidRDefault="003F4BBE" w:rsidP="00E11A53">
      <w:pPr>
        <w:pStyle w:val="Akapitzlist"/>
        <w:numPr>
          <w:ilvl w:val="0"/>
          <w:numId w:val="2"/>
        </w:numPr>
        <w:spacing w:after="0" w:line="300" w:lineRule="auto"/>
        <w:ind w:left="426" w:hanging="426"/>
        <w:jc w:val="both"/>
        <w:rPr>
          <w:rStyle w:val="markedcontent"/>
          <w:rFonts w:ascii="Arial" w:eastAsia="Times New Roman" w:hAnsi="Arial" w:cs="Arial"/>
          <w:b/>
          <w:bCs/>
          <w:u w:val="single"/>
          <w:lang w:eastAsia="pl-PL"/>
        </w:rPr>
      </w:pPr>
      <w:r w:rsidRPr="003F4BBE">
        <w:rPr>
          <w:rStyle w:val="markedcontent"/>
          <w:rFonts w:ascii="Arial" w:eastAsia="Times New Roman" w:hAnsi="Arial" w:cs="Arial"/>
          <w:b/>
          <w:bCs/>
          <w:u w:val="single"/>
          <w:lang w:eastAsia="pl-PL"/>
        </w:rPr>
        <w:t>Ustawa z dnia 3 lipca 2026 r. o zmianie ustawy o przygotowaniu i realizacji inwestycji w zakresie obiektów energetyki jądrowej oraz inwestycji towarzyszących oraz niektórych innych ustaw</w:t>
      </w:r>
      <w:r w:rsidRPr="003F4BBE">
        <w:rPr>
          <w:rStyle w:val="markedcontent"/>
          <w:rFonts w:ascii="Arial" w:eastAsia="Times New Roman" w:hAnsi="Arial" w:cs="Arial"/>
          <w:b/>
          <w:bCs/>
          <w:u w:val="single"/>
          <w:lang w:eastAsia="pl-PL"/>
        </w:rPr>
        <w:t>.</w:t>
      </w:r>
    </w:p>
    <w:p w14:paraId="072524E9" w14:textId="77777777" w:rsidR="003F4BBE" w:rsidRPr="003F4BBE" w:rsidRDefault="003F4BBE" w:rsidP="003F4BBE">
      <w:pPr>
        <w:spacing w:after="0" w:line="300" w:lineRule="auto"/>
        <w:jc w:val="both"/>
        <w:rPr>
          <w:rStyle w:val="markedcontent"/>
          <w:rFonts w:ascii="Arial" w:eastAsia="Times New Roman" w:hAnsi="Arial" w:cs="Arial"/>
          <w:lang w:eastAsia="pl-PL"/>
        </w:rPr>
      </w:pPr>
    </w:p>
    <w:p w14:paraId="1E2F7A34" w14:textId="48E42D8A" w:rsidR="003F4BBE" w:rsidRPr="003F4BBE"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Powyższy akt prawny ogłoszony został 1</w:t>
      </w:r>
      <w:r>
        <w:rPr>
          <w:rStyle w:val="markedcontent"/>
          <w:rFonts w:ascii="Arial" w:eastAsia="Times New Roman" w:hAnsi="Arial" w:cs="Arial"/>
          <w:lang w:eastAsia="pl-PL"/>
        </w:rPr>
        <w:t>8</w:t>
      </w:r>
      <w:r w:rsidRPr="003F4BBE">
        <w:rPr>
          <w:rStyle w:val="markedcontent"/>
          <w:rFonts w:ascii="Arial" w:eastAsia="Times New Roman" w:hAnsi="Arial" w:cs="Arial"/>
          <w:lang w:eastAsia="pl-PL"/>
        </w:rPr>
        <w:t xml:space="preserve"> sierpnia 2026 roku w Dzienniku Ustaw (Dz.U. z 2026, poz. 109</w:t>
      </w:r>
      <w:r>
        <w:rPr>
          <w:rStyle w:val="markedcontent"/>
          <w:rFonts w:ascii="Arial" w:eastAsia="Times New Roman" w:hAnsi="Arial" w:cs="Arial"/>
          <w:lang w:eastAsia="pl-PL"/>
        </w:rPr>
        <w:t>7</w:t>
      </w:r>
      <w:r w:rsidRPr="003F4BBE">
        <w:rPr>
          <w:rStyle w:val="markedcontent"/>
          <w:rFonts w:ascii="Arial" w:eastAsia="Times New Roman" w:hAnsi="Arial" w:cs="Arial"/>
          <w:lang w:eastAsia="pl-PL"/>
        </w:rPr>
        <w:t>).</w:t>
      </w:r>
    </w:p>
    <w:p w14:paraId="428DF856" w14:textId="77777777" w:rsidR="003F4BBE" w:rsidRDefault="003F4BBE" w:rsidP="003F4BBE">
      <w:pPr>
        <w:spacing w:after="0" w:line="300" w:lineRule="auto"/>
        <w:jc w:val="both"/>
        <w:rPr>
          <w:rStyle w:val="markedcontent"/>
          <w:rFonts w:ascii="Arial" w:eastAsia="Times New Roman" w:hAnsi="Arial" w:cs="Arial"/>
          <w:lang w:eastAsia="pl-PL"/>
        </w:rPr>
      </w:pPr>
    </w:p>
    <w:p w14:paraId="003D66CA" w14:textId="77777777" w:rsidR="003F4BBE"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 xml:space="preserve">Uchwalona ustawa wprowadza zmiany w ustawie z dnia 29 czerwca 2011 r. o zmianie ustawy o przygotowaniu i realizacji inwestycji w zakresie obiektów energetyki jądrowej oraz inwestycji towarzyszących (Dz. U. z 2025 r. poz. 1156), zwana „specustawą jądrową”, która reguluje proces inwestycyjno-budowlany dla obiektów energetyki jądrowej. Specustawa jądrowa obowiązuje od dnia 1 lipca 2011 r. i już obecnie obowiązujący art. 15 ust. 3 umożliwia etapowanie procesu budowlanego dla obiektów energetyki jądrowej zgodnie z ogólnymi regułami Prawa budowlanego (art. 33 ust. 1 i nast.). Jednak obowiązujące przepisy pozwalają na budowę części zamierzenia budowlanego jedynie wówczas, gdy składa się ono z więcej niż jednego obiektu, a zarazem wybrany obiekt lub zespół obiektów mogą samodzielnie funkcjonować. Zdaniem projektodawców zasada ta nie odpowiada specyfice procesu budowlanego inwestycji w zakresie obiektu energetyki jądrowej, na co wskazuje doświadczenie międzynarodowe i może być przeszkodą w sprawnej realizacji inwestycji tego typu. </w:t>
      </w:r>
    </w:p>
    <w:p w14:paraId="68289971" w14:textId="77777777" w:rsidR="002B5C87"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 xml:space="preserve">Uchwalona ustawa uzupełnia dotychczasowe uregulowanie o wyłączenie stosowania art. 33 ust. 1 Prawa budowlanego w odniesieniu do budowy obiektu energetyki jądrowej. Powyższe  rozwiązanie ma na celu umożliwienie nie tylko podzielenia procesu budowy na części w </w:t>
      </w:r>
      <w:r w:rsidRPr="003F4BBE">
        <w:rPr>
          <w:rStyle w:val="markedcontent"/>
          <w:rFonts w:ascii="Arial" w:eastAsia="Times New Roman" w:hAnsi="Arial" w:cs="Arial"/>
          <w:lang w:eastAsia="pl-PL"/>
        </w:rPr>
        <w:lastRenderedPageBreak/>
        <w:t xml:space="preserve">rozumieniu wybranych obiektów lub zespołu obiektów, mogących samodzielnie funkcjonować zgodnie z przeznaczeniem, ale również jej etapowania w odniesieniu do wybranych obiektów, które do czasu ukończenia ostatniego z etapów budowy nie będą mogły samodzielnie funkcjonować (wstępne roboty budowlane – nowy art. 15 ust. 8 ustawy). W konsekwencji przewidziano również odpowiednie zmiany w instytucji pozwolenia na użytkowanie polegające m.in. na wyłączeniu, w odniesieniu do obiektu energetyki jądrowej, konieczności oddawania do użytkowania obiektów lub ich części, które mogą samodzielnie funkcjonować zgodnie z przeznaczeniem. </w:t>
      </w:r>
    </w:p>
    <w:p w14:paraId="4A857CDE" w14:textId="77777777" w:rsidR="002B5C87"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 xml:space="preserve">Celem poprawy efektywności całego procesu inwestycyjno-budowlanego dotyczącego obiektów energetyki jądrowej jest zwiększenie możliwości etapowania inwestycji w zakresie tych obiektów w ten sposób, aby można było wykonywać część robót budowlanych w rozumieniu Prawa budowlanego oraz innych prac, które nie mieszczą się w kategorii robót budowlanych, poprzez wprowadzenie instytucji wstępnych robót budowlanych przy obiekcie energetyki jądrowej, które poprzedzą budowę samej elektrowni jądrowej na podstawie zezwolenia wydawanego przez Prezesa Państwowej Agencji Atomistyki, na podstawie art. 4 ust. 1 ustawy – Prawo atomowe. Listę takich robót budowlanych zawiera nowododawany art. 17a ust. 1 pkt 1) i 2) (art. 1 pkt 7 projektu ustawy). </w:t>
      </w:r>
    </w:p>
    <w:p w14:paraId="65336027" w14:textId="77777777" w:rsidR="002B5C87"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 xml:space="preserve">Uchwalona nowelizacja wprowadza do sytemu prawnego:  </w:t>
      </w:r>
    </w:p>
    <w:p w14:paraId="3B771D05" w14:textId="77777777" w:rsidR="002B5C87"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 xml:space="preserve">1) szczególną kategorię decyzji o pozwoleniu na budowę – pozwolenia na budowę w zakresie wstępnych robót budowlanych przy obiekcie energetyki jądrowej, którymi są roboty budowlane w rozumieniu art. 3 pkt 7 ustawy – Prawo budowlane oraz inne prace budowlane, również niedotyczące obiektów budowlanych, do których przepisy szeroko rozumianego prawa budowlanego dotyczące robót budowlanych stosuje się odpowiednio; </w:t>
      </w:r>
    </w:p>
    <w:p w14:paraId="3514F73A" w14:textId="77777777" w:rsidR="002B5C87"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 xml:space="preserve">2) nową instytucję prawną w postaci – zezwolenia w zakresie bezpieczeństwa jądrowego i ochrony radiologicznej na wykonanie wstępnych robót budowlanych przy obiekcie energetyki jądrowej, wydawanego przez Prezesa Państwowej Agencji Atomistyki. </w:t>
      </w:r>
    </w:p>
    <w:p w14:paraId="11843908" w14:textId="77777777" w:rsidR="002B5C87" w:rsidRDefault="002B5C87" w:rsidP="003F4BBE">
      <w:pPr>
        <w:spacing w:after="0" w:line="300" w:lineRule="auto"/>
        <w:jc w:val="both"/>
        <w:rPr>
          <w:rStyle w:val="markedcontent"/>
          <w:rFonts w:ascii="Arial" w:eastAsia="Times New Roman" w:hAnsi="Arial" w:cs="Arial"/>
          <w:lang w:eastAsia="pl-PL"/>
        </w:rPr>
      </w:pPr>
    </w:p>
    <w:p w14:paraId="33BC22C7" w14:textId="005D2C96" w:rsidR="003F4BBE" w:rsidRPr="003F4BBE" w:rsidRDefault="003F4BBE" w:rsidP="003F4BBE">
      <w:pPr>
        <w:spacing w:after="0" w:line="300" w:lineRule="auto"/>
        <w:jc w:val="both"/>
        <w:rPr>
          <w:rStyle w:val="markedcontent"/>
          <w:rFonts w:ascii="Arial" w:eastAsia="Times New Roman" w:hAnsi="Arial" w:cs="Arial"/>
          <w:lang w:eastAsia="pl-PL"/>
        </w:rPr>
      </w:pPr>
      <w:r w:rsidRPr="003F4BBE">
        <w:rPr>
          <w:rStyle w:val="markedcontent"/>
          <w:rFonts w:ascii="Arial" w:eastAsia="Times New Roman" w:hAnsi="Arial" w:cs="Arial"/>
          <w:lang w:eastAsia="pl-PL"/>
        </w:rPr>
        <w:t>Nowelizacja ma wejść w życie po upływie 14 dni od dnia ogłoszenia.</w:t>
      </w:r>
    </w:p>
    <w:p w14:paraId="042FD868" w14:textId="77777777" w:rsidR="003F4BBE" w:rsidRPr="003F4BBE" w:rsidRDefault="003F4BBE" w:rsidP="003F4BBE">
      <w:pPr>
        <w:spacing w:after="0" w:line="300" w:lineRule="auto"/>
        <w:jc w:val="both"/>
        <w:rPr>
          <w:rStyle w:val="markedcontent"/>
          <w:rFonts w:ascii="Arial" w:eastAsia="Times New Roman" w:hAnsi="Arial" w:cs="Arial"/>
          <w:lang w:eastAsia="pl-PL"/>
        </w:rPr>
      </w:pPr>
    </w:p>
    <w:p w14:paraId="2C7A981B" w14:textId="627255C8" w:rsidR="003F4BBE" w:rsidRPr="003F33F8" w:rsidRDefault="003F33F8" w:rsidP="00E11A53">
      <w:pPr>
        <w:pStyle w:val="Akapitzlist"/>
        <w:numPr>
          <w:ilvl w:val="0"/>
          <w:numId w:val="2"/>
        </w:numPr>
        <w:spacing w:after="0" w:line="300" w:lineRule="auto"/>
        <w:ind w:left="426" w:hanging="426"/>
        <w:jc w:val="both"/>
        <w:rPr>
          <w:rStyle w:val="markedcontent"/>
          <w:rFonts w:ascii="Arial" w:eastAsia="Times New Roman" w:hAnsi="Arial" w:cs="Arial"/>
          <w:b/>
          <w:bCs/>
          <w:u w:val="single"/>
          <w:lang w:eastAsia="pl-PL"/>
        </w:rPr>
      </w:pPr>
      <w:r w:rsidRPr="003F33F8">
        <w:rPr>
          <w:rStyle w:val="markedcontent"/>
          <w:rFonts w:ascii="Arial" w:eastAsia="Times New Roman" w:hAnsi="Arial" w:cs="Arial"/>
          <w:b/>
          <w:bCs/>
          <w:u w:val="single"/>
          <w:lang w:eastAsia="pl-PL"/>
        </w:rPr>
        <w:t>Rozporządzenie Ministra Finansów i Gospodarki z dnia 8 sierpnia 2026 r. w sprawie certyfikatu wykonawcy zamówień publicznych</w:t>
      </w:r>
      <w:r w:rsidRPr="003F33F8">
        <w:rPr>
          <w:rStyle w:val="markedcontent"/>
          <w:rFonts w:ascii="Arial" w:eastAsia="Times New Roman" w:hAnsi="Arial" w:cs="Arial"/>
          <w:b/>
          <w:bCs/>
          <w:u w:val="single"/>
          <w:lang w:eastAsia="pl-PL"/>
        </w:rPr>
        <w:t>.</w:t>
      </w:r>
    </w:p>
    <w:p w14:paraId="7C059BB9" w14:textId="77777777" w:rsidR="00E11A53" w:rsidRDefault="00E11A53" w:rsidP="003F33F8">
      <w:pPr>
        <w:spacing w:after="0" w:line="300" w:lineRule="auto"/>
        <w:jc w:val="both"/>
        <w:rPr>
          <w:rFonts w:ascii="Arial" w:eastAsia="Times New Roman" w:hAnsi="Arial" w:cs="Arial"/>
          <w:lang w:eastAsia="pl-PL"/>
        </w:rPr>
      </w:pPr>
    </w:p>
    <w:p w14:paraId="3D52CC26" w14:textId="248EFFE3" w:rsidR="003F33F8" w:rsidRDefault="003F33F8" w:rsidP="003F33F8">
      <w:pPr>
        <w:spacing w:after="0" w:line="300" w:lineRule="auto"/>
        <w:jc w:val="both"/>
        <w:rPr>
          <w:rFonts w:ascii="Arial" w:eastAsia="Times New Roman" w:hAnsi="Arial" w:cs="Arial"/>
          <w:lang w:eastAsia="pl-PL"/>
        </w:rPr>
      </w:pPr>
      <w:r w:rsidRPr="003F33F8">
        <w:rPr>
          <w:rFonts w:ascii="Arial" w:eastAsia="Times New Roman" w:hAnsi="Arial" w:cs="Arial"/>
          <w:lang w:eastAsia="pl-PL"/>
        </w:rPr>
        <w:t xml:space="preserve">Powyższy akt prawny ogłoszony został </w:t>
      </w:r>
      <w:r>
        <w:rPr>
          <w:rFonts w:ascii="Arial" w:eastAsia="Times New Roman" w:hAnsi="Arial" w:cs="Arial"/>
          <w:lang w:eastAsia="pl-PL"/>
        </w:rPr>
        <w:t>21</w:t>
      </w:r>
      <w:r w:rsidRPr="003F33F8">
        <w:rPr>
          <w:rFonts w:ascii="Arial" w:eastAsia="Times New Roman" w:hAnsi="Arial" w:cs="Arial"/>
          <w:lang w:eastAsia="pl-PL"/>
        </w:rPr>
        <w:t xml:space="preserve"> sierpnia 2026 roku w Dzienniku Ustaw (Dz.U. z 2026, poz. 1</w:t>
      </w:r>
      <w:r>
        <w:rPr>
          <w:rFonts w:ascii="Arial" w:eastAsia="Times New Roman" w:hAnsi="Arial" w:cs="Arial"/>
          <w:lang w:eastAsia="pl-PL"/>
        </w:rPr>
        <w:t>116</w:t>
      </w:r>
      <w:r w:rsidRPr="003F33F8">
        <w:rPr>
          <w:rFonts w:ascii="Arial" w:eastAsia="Times New Roman" w:hAnsi="Arial" w:cs="Arial"/>
          <w:lang w:eastAsia="pl-PL"/>
        </w:rPr>
        <w:t>).</w:t>
      </w:r>
    </w:p>
    <w:p w14:paraId="2E2D5F14" w14:textId="77777777" w:rsidR="003F33F8" w:rsidRPr="003F33F8" w:rsidRDefault="003F33F8" w:rsidP="003F33F8">
      <w:pPr>
        <w:spacing w:after="0" w:line="300" w:lineRule="auto"/>
        <w:jc w:val="both"/>
        <w:rPr>
          <w:rFonts w:ascii="Arial" w:eastAsia="Times New Roman" w:hAnsi="Arial" w:cs="Arial"/>
          <w:lang w:eastAsia="pl-PL"/>
        </w:rPr>
      </w:pPr>
    </w:p>
    <w:p w14:paraId="7E3403E9" w14:textId="53254507" w:rsidR="00E11A53" w:rsidRDefault="003F33F8" w:rsidP="00E11A53">
      <w:pPr>
        <w:spacing w:after="0" w:line="300" w:lineRule="auto"/>
        <w:jc w:val="both"/>
        <w:rPr>
          <w:rFonts w:ascii="Arial" w:hAnsi="Arial" w:cs="Arial"/>
        </w:rPr>
      </w:pPr>
      <w:r w:rsidRPr="003F33F8">
        <w:rPr>
          <w:rFonts w:ascii="Arial" w:hAnsi="Arial" w:cs="Arial"/>
        </w:rPr>
        <w:t>Rozporządzenie zostało wydane na podstawie</w:t>
      </w:r>
      <w:r w:rsidRPr="003F33F8">
        <w:t xml:space="preserve"> </w:t>
      </w:r>
      <w:r w:rsidRPr="003F33F8">
        <w:rPr>
          <w:rFonts w:ascii="Arial" w:hAnsi="Arial" w:cs="Arial"/>
        </w:rPr>
        <w:t>art. 24 ust. 5 ustawy z dnia 5 sierpnia 2025 r. o certyfikacji wykonawców zamówień publicznych (Dz. U. poz. 1235 oraz z 2026 r. poz. 421)</w:t>
      </w:r>
      <w:r>
        <w:rPr>
          <w:rFonts w:ascii="Arial" w:hAnsi="Arial" w:cs="Arial"/>
        </w:rPr>
        <w:t>.</w:t>
      </w:r>
    </w:p>
    <w:p w14:paraId="5F073980" w14:textId="77777777" w:rsidR="00261F47" w:rsidRDefault="00261F47" w:rsidP="00E11A53">
      <w:pPr>
        <w:spacing w:after="0" w:line="300" w:lineRule="auto"/>
        <w:jc w:val="both"/>
        <w:rPr>
          <w:rFonts w:ascii="Arial" w:hAnsi="Arial" w:cs="Arial"/>
        </w:rPr>
      </w:pPr>
      <w:r w:rsidRPr="00261F47">
        <w:rPr>
          <w:rFonts w:ascii="Arial" w:hAnsi="Arial" w:cs="Arial"/>
        </w:rPr>
        <w:t xml:space="preserve">Rozporządzenie określa: </w:t>
      </w:r>
    </w:p>
    <w:p w14:paraId="34818CAB" w14:textId="71DCC622" w:rsidR="00261F47" w:rsidRPr="00261F47" w:rsidRDefault="00261F47" w:rsidP="00261F47">
      <w:pPr>
        <w:pStyle w:val="Akapitzlist"/>
        <w:numPr>
          <w:ilvl w:val="0"/>
          <w:numId w:val="23"/>
        </w:numPr>
        <w:spacing w:after="0" w:line="300" w:lineRule="auto"/>
        <w:jc w:val="both"/>
        <w:rPr>
          <w:rFonts w:ascii="Arial" w:hAnsi="Arial" w:cs="Arial"/>
        </w:rPr>
      </w:pPr>
      <w:r w:rsidRPr="00261F47">
        <w:rPr>
          <w:rFonts w:ascii="Arial" w:hAnsi="Arial" w:cs="Arial"/>
        </w:rPr>
        <w:t xml:space="preserve">szczegółowy zakres danych i informacji, o których mowa w art. 24 ust. 2 pkt 5 i 8–11 ustawy z dnia 5 sierpnia 2025 r. o certyfikacji wykonawców zamówień publicznych, zamieszczanych w certyfikacie wykonawcy zamówień publicznych; </w:t>
      </w:r>
    </w:p>
    <w:p w14:paraId="3C1E261D" w14:textId="77777777" w:rsidR="00261F47" w:rsidRDefault="00261F47" w:rsidP="00261F47">
      <w:pPr>
        <w:pStyle w:val="Akapitzlist"/>
        <w:numPr>
          <w:ilvl w:val="0"/>
          <w:numId w:val="23"/>
        </w:numPr>
        <w:spacing w:after="0" w:line="300" w:lineRule="auto"/>
        <w:jc w:val="both"/>
        <w:rPr>
          <w:rFonts w:ascii="Arial" w:hAnsi="Arial" w:cs="Arial"/>
        </w:rPr>
      </w:pPr>
      <w:r w:rsidRPr="00261F47">
        <w:rPr>
          <w:rFonts w:ascii="Arial" w:hAnsi="Arial" w:cs="Arial"/>
        </w:rPr>
        <w:t xml:space="preserve">wzór certyfikatu: </w:t>
      </w:r>
    </w:p>
    <w:p w14:paraId="3169ED2F" w14:textId="77777777" w:rsidR="00261F47" w:rsidRDefault="00261F47" w:rsidP="00261F47">
      <w:pPr>
        <w:pStyle w:val="Akapitzlist"/>
        <w:spacing w:after="0" w:line="300" w:lineRule="auto"/>
        <w:jc w:val="both"/>
        <w:rPr>
          <w:rFonts w:ascii="Arial" w:hAnsi="Arial" w:cs="Arial"/>
        </w:rPr>
      </w:pPr>
      <w:r w:rsidRPr="00261F47">
        <w:rPr>
          <w:rFonts w:ascii="Arial" w:hAnsi="Arial" w:cs="Arial"/>
        </w:rPr>
        <w:t>a) wykonawcy zamówień publicznych</w:t>
      </w:r>
      <w:r>
        <w:rPr>
          <w:rFonts w:ascii="Arial" w:hAnsi="Arial" w:cs="Arial"/>
        </w:rPr>
        <w:t>. Wzór ten sta</w:t>
      </w:r>
      <w:r w:rsidRPr="00261F47">
        <w:rPr>
          <w:rFonts w:ascii="Arial" w:hAnsi="Arial" w:cs="Arial"/>
        </w:rPr>
        <w:t xml:space="preserve">nowi załącznik nr 1 do rozporządzenia, </w:t>
      </w:r>
    </w:p>
    <w:p w14:paraId="45132CB3" w14:textId="7F91CBF8" w:rsidR="003F33F8" w:rsidRDefault="00261F47" w:rsidP="00261F47">
      <w:pPr>
        <w:pStyle w:val="Akapitzlist"/>
        <w:spacing w:after="0" w:line="300" w:lineRule="auto"/>
        <w:jc w:val="both"/>
        <w:rPr>
          <w:rFonts w:ascii="Arial" w:hAnsi="Arial" w:cs="Arial"/>
        </w:rPr>
      </w:pPr>
      <w:r w:rsidRPr="00261F47">
        <w:rPr>
          <w:rFonts w:ascii="Arial" w:hAnsi="Arial" w:cs="Arial"/>
        </w:rPr>
        <w:lastRenderedPageBreak/>
        <w:t>b) wykonawców zamówień publicznych</w:t>
      </w:r>
      <w:r>
        <w:rPr>
          <w:rFonts w:ascii="Arial" w:hAnsi="Arial" w:cs="Arial"/>
        </w:rPr>
        <w:t>. Wzór ten</w:t>
      </w:r>
      <w:r w:rsidRPr="00261F47">
        <w:rPr>
          <w:rFonts w:ascii="Arial" w:hAnsi="Arial" w:cs="Arial"/>
        </w:rPr>
        <w:t xml:space="preserve"> stanowi załącznik nr 2 do rozporządzenia.</w:t>
      </w:r>
    </w:p>
    <w:p w14:paraId="2C62BE72" w14:textId="77777777" w:rsidR="001F29E6" w:rsidRDefault="001F29E6" w:rsidP="001F29E6">
      <w:pPr>
        <w:spacing w:after="0" w:line="300" w:lineRule="auto"/>
        <w:jc w:val="both"/>
        <w:rPr>
          <w:rFonts w:ascii="Arial" w:hAnsi="Arial" w:cs="Arial"/>
        </w:rPr>
      </w:pPr>
    </w:p>
    <w:p w14:paraId="0ECAF63C" w14:textId="6A575D0E" w:rsidR="001F29E6" w:rsidRPr="001F29E6" w:rsidRDefault="001F29E6" w:rsidP="001F29E6">
      <w:pPr>
        <w:spacing w:after="0" w:line="300" w:lineRule="auto"/>
        <w:jc w:val="both"/>
        <w:rPr>
          <w:rFonts w:ascii="Arial" w:hAnsi="Arial" w:cs="Arial"/>
        </w:rPr>
      </w:pPr>
      <w:r w:rsidRPr="001F29E6">
        <w:rPr>
          <w:rFonts w:ascii="Arial" w:hAnsi="Arial" w:cs="Arial"/>
        </w:rPr>
        <w:t>Rozporządzenie w</w:t>
      </w:r>
      <w:r>
        <w:rPr>
          <w:rFonts w:ascii="Arial" w:hAnsi="Arial" w:cs="Arial"/>
        </w:rPr>
        <w:t>eszło</w:t>
      </w:r>
      <w:r w:rsidRPr="001F29E6">
        <w:rPr>
          <w:rFonts w:ascii="Arial" w:hAnsi="Arial" w:cs="Arial"/>
        </w:rPr>
        <w:t xml:space="preserve"> w życie z dniem następującym po dniu ogłoszenia</w:t>
      </w:r>
      <w:r>
        <w:rPr>
          <w:rFonts w:ascii="Arial" w:hAnsi="Arial" w:cs="Arial"/>
        </w:rPr>
        <w:t>.</w:t>
      </w:r>
    </w:p>
    <w:p w14:paraId="0DC315C8" w14:textId="77777777" w:rsidR="00580328" w:rsidRDefault="00580328"/>
    <w:sectPr w:rsidR="00580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15438"/>
    <w:multiLevelType w:val="hybridMultilevel"/>
    <w:tmpl w:val="75689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167CBA"/>
    <w:multiLevelType w:val="hybridMultilevel"/>
    <w:tmpl w:val="D08AFA38"/>
    <w:lvl w:ilvl="0" w:tplc="04150017">
      <w:start w:val="1"/>
      <w:numFmt w:val="lowerLetter"/>
      <w:lvlText w:val="%1)"/>
      <w:lvlJc w:val="left"/>
      <w:pPr>
        <w:ind w:left="1287" w:hanging="360"/>
      </w:pPr>
    </w:lvl>
    <w:lvl w:ilvl="1" w:tplc="E3002044">
      <w:start w:val="5"/>
      <w:numFmt w:val="bullet"/>
      <w:lvlText w:val="•"/>
      <w:lvlJc w:val="left"/>
      <w:pPr>
        <w:ind w:left="2355" w:hanging="708"/>
      </w:pPr>
      <w:rPr>
        <w:rFonts w:ascii="Aptos" w:eastAsiaTheme="minorHAnsi" w:hAnsi="Aptos" w:cstheme="minorBidi"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16C005F1"/>
    <w:multiLevelType w:val="hybridMultilevel"/>
    <w:tmpl w:val="6F92AF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DB1F5A"/>
    <w:multiLevelType w:val="hybridMultilevel"/>
    <w:tmpl w:val="F41670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08E191B"/>
    <w:multiLevelType w:val="hybridMultilevel"/>
    <w:tmpl w:val="925650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E64FCE"/>
    <w:multiLevelType w:val="hybridMultilevel"/>
    <w:tmpl w:val="ABB0EF4E"/>
    <w:lvl w:ilvl="0" w:tplc="7CDEB8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070DC2"/>
    <w:multiLevelType w:val="hybridMultilevel"/>
    <w:tmpl w:val="48AC6A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666813"/>
    <w:multiLevelType w:val="hybridMultilevel"/>
    <w:tmpl w:val="BA4A46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652BEB"/>
    <w:multiLevelType w:val="hybridMultilevel"/>
    <w:tmpl w:val="39B8D6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7605A7"/>
    <w:multiLevelType w:val="hybridMultilevel"/>
    <w:tmpl w:val="2B280E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E773B9"/>
    <w:multiLevelType w:val="hybridMultilevel"/>
    <w:tmpl w:val="EDAC9A3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C7266A"/>
    <w:multiLevelType w:val="hybridMultilevel"/>
    <w:tmpl w:val="E19EEBEC"/>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8B2DB6"/>
    <w:multiLevelType w:val="hybridMultilevel"/>
    <w:tmpl w:val="AB428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9A39C7"/>
    <w:multiLevelType w:val="hybridMultilevel"/>
    <w:tmpl w:val="855460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E4088E"/>
    <w:multiLevelType w:val="hybridMultilevel"/>
    <w:tmpl w:val="CAF21E52"/>
    <w:lvl w:ilvl="0" w:tplc="43D8372A">
      <w:start w:val="1"/>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5809F3"/>
    <w:multiLevelType w:val="hybridMultilevel"/>
    <w:tmpl w:val="CA4A2E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980FD5"/>
    <w:multiLevelType w:val="hybridMultilevel"/>
    <w:tmpl w:val="52A4B3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6D5106"/>
    <w:multiLevelType w:val="hybridMultilevel"/>
    <w:tmpl w:val="3CEEFC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ED00C6"/>
    <w:multiLevelType w:val="hybridMultilevel"/>
    <w:tmpl w:val="82C2C7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0EA1B16"/>
    <w:multiLevelType w:val="hybridMultilevel"/>
    <w:tmpl w:val="A2563C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9253F1"/>
    <w:multiLevelType w:val="hybridMultilevel"/>
    <w:tmpl w:val="32541F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3008F3"/>
    <w:multiLevelType w:val="hybridMultilevel"/>
    <w:tmpl w:val="1A0ED1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0B0DBC"/>
    <w:multiLevelType w:val="hybridMultilevel"/>
    <w:tmpl w:val="0EF89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9027726">
    <w:abstractNumId w:val="5"/>
  </w:num>
  <w:num w:numId="2" w16cid:durableId="3118319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761560">
    <w:abstractNumId w:val="2"/>
  </w:num>
  <w:num w:numId="4" w16cid:durableId="5788216">
    <w:abstractNumId w:val="16"/>
  </w:num>
  <w:num w:numId="5" w16cid:durableId="1820147117">
    <w:abstractNumId w:val="14"/>
  </w:num>
  <w:num w:numId="6" w16cid:durableId="714044927">
    <w:abstractNumId w:val="22"/>
  </w:num>
  <w:num w:numId="7" w16cid:durableId="1341471902">
    <w:abstractNumId w:val="9"/>
  </w:num>
  <w:num w:numId="8" w16cid:durableId="1100679941">
    <w:abstractNumId w:val="21"/>
  </w:num>
  <w:num w:numId="9" w16cid:durableId="933317800">
    <w:abstractNumId w:val="1"/>
  </w:num>
  <w:num w:numId="10" w16cid:durableId="1164707826">
    <w:abstractNumId w:val="10"/>
  </w:num>
  <w:num w:numId="11" w16cid:durableId="1814789115">
    <w:abstractNumId w:val="4"/>
  </w:num>
  <w:num w:numId="12" w16cid:durableId="82992783">
    <w:abstractNumId w:val="19"/>
  </w:num>
  <w:num w:numId="13" w16cid:durableId="1970746129">
    <w:abstractNumId w:val="15"/>
  </w:num>
  <w:num w:numId="14" w16cid:durableId="382099471">
    <w:abstractNumId w:val="17"/>
  </w:num>
  <w:num w:numId="15" w16cid:durableId="1113675455">
    <w:abstractNumId w:val="8"/>
  </w:num>
  <w:num w:numId="16" w16cid:durableId="1591738543">
    <w:abstractNumId w:val="11"/>
  </w:num>
  <w:num w:numId="17" w16cid:durableId="748623056">
    <w:abstractNumId w:val="3"/>
  </w:num>
  <w:num w:numId="18" w16cid:durableId="56055592">
    <w:abstractNumId w:val="20"/>
  </w:num>
  <w:num w:numId="19" w16cid:durableId="1372877418">
    <w:abstractNumId w:val="0"/>
  </w:num>
  <w:num w:numId="20" w16cid:durableId="1425960682">
    <w:abstractNumId w:val="7"/>
  </w:num>
  <w:num w:numId="21" w16cid:durableId="528419555">
    <w:abstractNumId w:val="12"/>
  </w:num>
  <w:num w:numId="22" w16cid:durableId="1247760407">
    <w:abstractNumId w:val="13"/>
  </w:num>
  <w:num w:numId="23" w16cid:durableId="809636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53"/>
    <w:rsid w:val="000B16CE"/>
    <w:rsid w:val="00130E9D"/>
    <w:rsid w:val="0013571D"/>
    <w:rsid w:val="00184677"/>
    <w:rsid w:val="001D7C21"/>
    <w:rsid w:val="001F29E6"/>
    <w:rsid w:val="00211341"/>
    <w:rsid w:val="00261F47"/>
    <w:rsid w:val="002B5C87"/>
    <w:rsid w:val="002F665F"/>
    <w:rsid w:val="003A2EB0"/>
    <w:rsid w:val="003B3320"/>
    <w:rsid w:val="003F33F8"/>
    <w:rsid w:val="003F4BBE"/>
    <w:rsid w:val="00424730"/>
    <w:rsid w:val="00457379"/>
    <w:rsid w:val="00494640"/>
    <w:rsid w:val="0053607C"/>
    <w:rsid w:val="00580328"/>
    <w:rsid w:val="005E2523"/>
    <w:rsid w:val="00672E9E"/>
    <w:rsid w:val="00836FE5"/>
    <w:rsid w:val="00846BD7"/>
    <w:rsid w:val="009F5F74"/>
    <w:rsid w:val="00BD6958"/>
    <w:rsid w:val="00CD7347"/>
    <w:rsid w:val="00D766E4"/>
    <w:rsid w:val="00E11A53"/>
    <w:rsid w:val="00EA5E60"/>
    <w:rsid w:val="00EF1562"/>
    <w:rsid w:val="00F86BEB"/>
    <w:rsid w:val="00FA2B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9627"/>
  <w15:chartTrackingRefBased/>
  <w15:docId w15:val="{DBBF78CA-9413-4A28-A903-1B686ED8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A53"/>
    <w:pPr>
      <w:spacing w:after="200" w:line="276" w:lineRule="auto"/>
    </w:pPr>
    <w:rPr>
      <w:kern w:val="0"/>
      <w14:ligatures w14:val="none"/>
    </w:rPr>
  </w:style>
  <w:style w:type="paragraph" w:styleId="Nagwek1">
    <w:name w:val="heading 1"/>
    <w:basedOn w:val="Normalny"/>
    <w:next w:val="Normalny"/>
    <w:link w:val="Nagwek1Znak"/>
    <w:uiPriority w:val="9"/>
    <w:qFormat/>
    <w:rsid w:val="00E11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11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11A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11A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11A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11A5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11A5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11A5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11A5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1A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11A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11A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11A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11A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11A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1A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1A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1A53"/>
    <w:rPr>
      <w:rFonts w:eastAsiaTheme="majorEastAsia" w:cstheme="majorBidi"/>
      <w:color w:val="272727" w:themeColor="text1" w:themeTint="D8"/>
    </w:rPr>
  </w:style>
  <w:style w:type="paragraph" w:styleId="Tytu">
    <w:name w:val="Title"/>
    <w:basedOn w:val="Normalny"/>
    <w:next w:val="Normalny"/>
    <w:link w:val="TytuZnak"/>
    <w:uiPriority w:val="10"/>
    <w:qFormat/>
    <w:rsid w:val="00E11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11A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1A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11A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1A53"/>
    <w:pPr>
      <w:spacing w:before="160"/>
      <w:jc w:val="center"/>
    </w:pPr>
    <w:rPr>
      <w:i/>
      <w:iCs/>
      <w:color w:val="404040" w:themeColor="text1" w:themeTint="BF"/>
    </w:rPr>
  </w:style>
  <w:style w:type="character" w:customStyle="1" w:styleId="CytatZnak">
    <w:name w:val="Cytat Znak"/>
    <w:basedOn w:val="Domylnaczcionkaakapitu"/>
    <w:link w:val="Cytat"/>
    <w:uiPriority w:val="29"/>
    <w:rsid w:val="00E11A53"/>
    <w:rPr>
      <w:i/>
      <w:iCs/>
      <w:color w:val="404040" w:themeColor="text1" w:themeTint="BF"/>
    </w:rPr>
  </w:style>
  <w:style w:type="paragraph" w:styleId="Akapitzlist">
    <w:name w:val="List Paragraph"/>
    <w:basedOn w:val="Normalny"/>
    <w:uiPriority w:val="34"/>
    <w:qFormat/>
    <w:rsid w:val="00E11A53"/>
    <w:pPr>
      <w:ind w:left="720"/>
      <w:contextualSpacing/>
    </w:pPr>
  </w:style>
  <w:style w:type="character" w:styleId="Wyrnienieintensywne">
    <w:name w:val="Intense Emphasis"/>
    <w:basedOn w:val="Domylnaczcionkaakapitu"/>
    <w:uiPriority w:val="21"/>
    <w:qFormat/>
    <w:rsid w:val="00E11A53"/>
    <w:rPr>
      <w:i/>
      <w:iCs/>
      <w:color w:val="0F4761" w:themeColor="accent1" w:themeShade="BF"/>
    </w:rPr>
  </w:style>
  <w:style w:type="paragraph" w:styleId="Cytatintensywny">
    <w:name w:val="Intense Quote"/>
    <w:basedOn w:val="Normalny"/>
    <w:next w:val="Normalny"/>
    <w:link w:val="CytatintensywnyZnak"/>
    <w:uiPriority w:val="30"/>
    <w:qFormat/>
    <w:rsid w:val="00E11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11A53"/>
    <w:rPr>
      <w:i/>
      <w:iCs/>
      <w:color w:val="0F4761" w:themeColor="accent1" w:themeShade="BF"/>
    </w:rPr>
  </w:style>
  <w:style w:type="character" w:styleId="Odwoanieintensywne">
    <w:name w:val="Intense Reference"/>
    <w:basedOn w:val="Domylnaczcionkaakapitu"/>
    <w:uiPriority w:val="32"/>
    <w:qFormat/>
    <w:rsid w:val="00E11A53"/>
    <w:rPr>
      <w:b/>
      <w:bCs/>
      <w:smallCaps/>
      <w:color w:val="0F4761" w:themeColor="accent1" w:themeShade="BF"/>
      <w:spacing w:val="5"/>
    </w:rPr>
  </w:style>
  <w:style w:type="character" w:customStyle="1" w:styleId="markedcontent">
    <w:name w:val="markedcontent"/>
    <w:basedOn w:val="Domylnaczcionkaakapitu"/>
    <w:rsid w:val="00E11A53"/>
  </w:style>
  <w:style w:type="character" w:styleId="Hipercze">
    <w:name w:val="Hyperlink"/>
    <w:basedOn w:val="Domylnaczcionkaakapitu"/>
    <w:uiPriority w:val="99"/>
    <w:unhideWhenUsed/>
    <w:rsid w:val="00D766E4"/>
    <w:rPr>
      <w:color w:val="467886" w:themeColor="hyperlink"/>
      <w:u w:val="single"/>
    </w:rPr>
  </w:style>
  <w:style w:type="character" w:styleId="Nierozpoznanawzmianka">
    <w:name w:val="Unresolved Mention"/>
    <w:basedOn w:val="Domylnaczcionkaakapitu"/>
    <w:uiPriority w:val="99"/>
    <w:semiHidden/>
    <w:unhideWhenUsed/>
    <w:rsid w:val="00D766E4"/>
    <w:rPr>
      <w:color w:val="605E5C"/>
      <w:shd w:val="clear" w:color="auto" w:fill="E1DFDD"/>
    </w:rPr>
  </w:style>
  <w:style w:type="character" w:styleId="UyteHipercze">
    <w:name w:val="FollowedHyperlink"/>
    <w:basedOn w:val="Domylnaczcionkaakapitu"/>
    <w:uiPriority w:val="99"/>
    <w:semiHidden/>
    <w:unhideWhenUsed/>
    <w:rsid w:val="003A2EB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ja.rcl.gov.pl/projekt/12413754/katalog/13222346#13222346" TargetMode="External"/><Relationship Id="rId13" Type="http://schemas.openxmlformats.org/officeDocument/2006/relationships/hyperlink" Target="https://legislacja.rcl.gov.pl/projekt/12413651/katalog/13221806#13221806" TargetMode="External"/><Relationship Id="rId3" Type="http://schemas.openxmlformats.org/officeDocument/2006/relationships/settings" Target="settings.xml"/><Relationship Id="rId7" Type="http://schemas.openxmlformats.org/officeDocument/2006/relationships/hyperlink" Target="https://legislacja.rcl.gov.pl/projekt/12413703/katalog/13222087#13222087" TargetMode="External"/><Relationship Id="rId12" Type="http://schemas.openxmlformats.org/officeDocument/2006/relationships/hyperlink" Target="https://legislacja.rcl.gov.pl/projekt/12413608/katalog/13221582#132215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cja.rcl.gov.pl/projekt/12413353/katalog/13220087#13220087" TargetMode="External"/><Relationship Id="rId11" Type="http://schemas.openxmlformats.org/officeDocument/2006/relationships/hyperlink" Target="https://legislacja.rcl.gov.pl/projekt/12413506/katalog/13220813#13220813"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egislacja.rcl.gov.pl/projekt/12413501/katalog/13220567#13220567" TargetMode="External"/><Relationship Id="rId4" Type="http://schemas.openxmlformats.org/officeDocument/2006/relationships/webSettings" Target="webSettings.xml"/><Relationship Id="rId9" Type="http://schemas.openxmlformats.org/officeDocument/2006/relationships/hyperlink" Target="https://legislacja.rcl.gov.pl/projekt/12413350/katalog/13219958#13219958"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30</Pages>
  <Words>13223</Words>
  <Characters>79338</Characters>
  <Application>Microsoft Office Word</Application>
  <DocSecurity>0</DocSecurity>
  <Lines>661</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Kuydowicz</dc:creator>
  <cp:keywords/>
  <dc:description/>
  <cp:lastModifiedBy>Tomasz Kuydowicz</cp:lastModifiedBy>
  <cp:revision>20</cp:revision>
  <dcterms:created xsi:type="dcterms:W3CDTF">2026-08-27T08:09:00Z</dcterms:created>
  <dcterms:modified xsi:type="dcterms:W3CDTF">2026-08-27T10:40:00Z</dcterms:modified>
</cp:coreProperties>
</file>