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4C903" w14:textId="3304D8BA" w:rsidR="009A57CE" w:rsidRPr="009A57CE" w:rsidRDefault="00CA2841" w:rsidP="008B766F">
      <w:pPr>
        <w:spacing w:after="0" w:line="240" w:lineRule="auto"/>
        <w:jc w:val="center"/>
        <w:rPr>
          <w:rFonts w:ascii="Open Sans" w:hAnsi="Open Sans" w:cs="Open Sans"/>
          <w:b/>
          <w:bCs/>
          <w:sz w:val="20"/>
          <w:szCs w:val="20"/>
        </w:rPr>
      </w:pPr>
      <w:bookmarkStart w:id="0" w:name="_Hlk107398740"/>
      <w:r w:rsidRPr="009A57CE">
        <w:rPr>
          <w:rFonts w:ascii="Open Sans" w:hAnsi="Open Sans" w:cs="Open Sans"/>
          <w:b/>
          <w:bCs/>
          <w:sz w:val="20"/>
          <w:szCs w:val="20"/>
        </w:rPr>
        <w:t xml:space="preserve">Uwagi do </w:t>
      </w:r>
      <w:r w:rsidR="009A57CE" w:rsidRPr="009A57CE">
        <w:rPr>
          <w:rFonts w:ascii="Open Sans" w:hAnsi="Open Sans" w:cs="Open Sans"/>
          <w:b/>
          <w:bCs/>
          <w:sz w:val="20"/>
          <w:szCs w:val="20"/>
        </w:rPr>
        <w:t xml:space="preserve">projektu </w:t>
      </w:r>
      <w:r w:rsidR="00022422">
        <w:rPr>
          <w:rFonts w:ascii="Open Sans" w:hAnsi="Open Sans" w:cs="Open Sans"/>
          <w:b/>
          <w:bCs/>
          <w:sz w:val="20"/>
          <w:szCs w:val="20"/>
        </w:rPr>
        <w:t>rozporządzenia RD</w:t>
      </w:r>
      <w:r w:rsidR="008A457A">
        <w:rPr>
          <w:rFonts w:ascii="Open Sans" w:hAnsi="Open Sans" w:cs="Open Sans"/>
          <w:b/>
          <w:bCs/>
          <w:sz w:val="20"/>
          <w:szCs w:val="20"/>
        </w:rPr>
        <w:t>23</w:t>
      </w:r>
      <w:r w:rsidR="00022422">
        <w:rPr>
          <w:rFonts w:ascii="Open Sans" w:hAnsi="Open Sans" w:cs="Open Sans"/>
          <w:b/>
          <w:bCs/>
          <w:sz w:val="20"/>
          <w:szCs w:val="20"/>
        </w:rPr>
        <w:t>6</w:t>
      </w:r>
    </w:p>
    <w:p w14:paraId="711D6FEE" w14:textId="77777777" w:rsidR="00CA2841" w:rsidRPr="009A57CE" w:rsidRDefault="00CA2841" w:rsidP="008B766F">
      <w:pPr>
        <w:spacing w:after="0" w:line="240" w:lineRule="auto"/>
        <w:rPr>
          <w:rFonts w:ascii="Open Sans" w:hAnsi="Open Sans" w:cs="Open Sans"/>
          <w:sz w:val="20"/>
          <w:szCs w:val="20"/>
        </w:rPr>
      </w:pPr>
    </w:p>
    <w:tbl>
      <w:tblPr>
        <w:tblStyle w:val="Tabela-Siatka"/>
        <w:tblpPr w:leftFromText="142" w:rightFromText="142" w:vertAnchor="text" w:horzAnchor="margin" w:tblpXSpec="center" w:tblpY="58"/>
        <w:tblW w:w="15740" w:type="dxa"/>
        <w:tblLayout w:type="fixed"/>
        <w:tblLook w:val="04A0" w:firstRow="1" w:lastRow="0" w:firstColumn="1" w:lastColumn="0" w:noHBand="0" w:noVBand="1"/>
      </w:tblPr>
      <w:tblGrid>
        <w:gridCol w:w="562"/>
        <w:gridCol w:w="1701"/>
        <w:gridCol w:w="2694"/>
        <w:gridCol w:w="5953"/>
        <w:gridCol w:w="3402"/>
        <w:gridCol w:w="1428"/>
      </w:tblGrid>
      <w:tr w:rsidR="0090574C" w:rsidRPr="009A57CE" w14:paraId="47E9ED08" w14:textId="77777777" w:rsidTr="00022422">
        <w:trPr>
          <w:trHeight w:val="551"/>
          <w:tblHeader/>
        </w:trPr>
        <w:tc>
          <w:tcPr>
            <w:tcW w:w="562" w:type="dxa"/>
            <w:vAlign w:val="center"/>
          </w:tcPr>
          <w:p w14:paraId="115BF413" w14:textId="6257DDCF" w:rsidR="0090574C" w:rsidRPr="009A57CE" w:rsidRDefault="0090574C" w:rsidP="009A57CE">
            <w:pPr>
              <w:jc w:val="center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9A57CE">
              <w:rPr>
                <w:rFonts w:ascii="Open Sans" w:hAnsi="Open Sans" w:cs="Open Sans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701" w:type="dxa"/>
            <w:vAlign w:val="center"/>
          </w:tcPr>
          <w:p w14:paraId="0FAF4510" w14:textId="4FD6EB74" w:rsidR="0090574C" w:rsidRPr="009A57CE" w:rsidRDefault="0090574C" w:rsidP="009A57CE">
            <w:pPr>
              <w:jc w:val="center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9A57CE">
              <w:rPr>
                <w:rFonts w:ascii="Open Sans" w:hAnsi="Open Sans" w:cs="Open Sans"/>
                <w:b/>
                <w:bCs/>
                <w:sz w:val="20"/>
                <w:szCs w:val="20"/>
              </w:rPr>
              <w:t>Podmiot wnoszący uwag</w:t>
            </w:r>
            <w:r w:rsidR="00B91BB7" w:rsidRPr="009A57CE">
              <w:rPr>
                <w:rFonts w:ascii="Open Sans" w:hAnsi="Open Sans" w:cs="Open Sans"/>
                <w:b/>
                <w:bCs/>
                <w:sz w:val="20"/>
                <w:szCs w:val="20"/>
              </w:rPr>
              <w:t>ę</w:t>
            </w:r>
          </w:p>
        </w:tc>
        <w:tc>
          <w:tcPr>
            <w:tcW w:w="2694" w:type="dxa"/>
            <w:vAlign w:val="center"/>
          </w:tcPr>
          <w:p w14:paraId="51F92737" w14:textId="202BCB41" w:rsidR="0090574C" w:rsidRPr="009A57CE" w:rsidRDefault="0090574C" w:rsidP="009A57CE">
            <w:pPr>
              <w:jc w:val="center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9A57CE">
              <w:rPr>
                <w:rFonts w:ascii="Open Sans" w:hAnsi="Open Sans" w:cs="Open Sans"/>
                <w:b/>
                <w:bCs/>
                <w:sz w:val="20"/>
                <w:szCs w:val="20"/>
              </w:rPr>
              <w:t>Jednostka redakcyjna, do której wnoszon</w:t>
            </w:r>
            <w:r w:rsidR="00B91BB7" w:rsidRPr="009A57CE">
              <w:rPr>
                <w:rFonts w:ascii="Open Sans" w:hAnsi="Open Sans" w:cs="Open Sans"/>
                <w:b/>
                <w:bCs/>
                <w:sz w:val="20"/>
                <w:szCs w:val="20"/>
              </w:rPr>
              <w:t>a jest</w:t>
            </w:r>
            <w:r w:rsidRPr="009A57CE">
              <w:rPr>
                <w:rFonts w:ascii="Open Sans" w:hAnsi="Open Sans" w:cs="Open Sans"/>
                <w:b/>
                <w:bCs/>
                <w:sz w:val="20"/>
                <w:szCs w:val="20"/>
              </w:rPr>
              <w:t xml:space="preserve"> uwag</w:t>
            </w:r>
            <w:r w:rsidR="00B91BB7" w:rsidRPr="009A57CE">
              <w:rPr>
                <w:rFonts w:ascii="Open Sans" w:hAnsi="Open Sans" w:cs="Open Sans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5953" w:type="dxa"/>
            <w:vAlign w:val="center"/>
          </w:tcPr>
          <w:p w14:paraId="74AACE5A" w14:textId="0BDDBBD7" w:rsidR="0090574C" w:rsidRPr="009A57CE" w:rsidRDefault="0090574C" w:rsidP="009A57CE">
            <w:pPr>
              <w:jc w:val="center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9A57CE">
              <w:rPr>
                <w:rFonts w:ascii="Open Sans" w:hAnsi="Open Sans" w:cs="Open Sans"/>
                <w:b/>
                <w:bCs/>
                <w:sz w:val="20"/>
                <w:szCs w:val="20"/>
              </w:rPr>
              <w:t>Treść uwagi</w:t>
            </w:r>
          </w:p>
        </w:tc>
        <w:tc>
          <w:tcPr>
            <w:tcW w:w="3402" w:type="dxa"/>
            <w:vAlign w:val="center"/>
          </w:tcPr>
          <w:p w14:paraId="7C9E6D74" w14:textId="597CDAA9" w:rsidR="0090574C" w:rsidRPr="009A57CE" w:rsidRDefault="0090574C" w:rsidP="009A57CE">
            <w:pPr>
              <w:jc w:val="center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9A57CE">
              <w:rPr>
                <w:rFonts w:ascii="Open Sans" w:hAnsi="Open Sans" w:cs="Open Sans"/>
                <w:b/>
                <w:bCs/>
                <w:sz w:val="20"/>
                <w:szCs w:val="20"/>
              </w:rPr>
              <w:t xml:space="preserve">Propozycja </w:t>
            </w:r>
            <w:r w:rsidR="00773DAD" w:rsidRPr="009A57CE">
              <w:rPr>
                <w:rFonts w:ascii="Open Sans" w:hAnsi="Open Sans" w:cs="Open Sans"/>
                <w:b/>
                <w:bCs/>
                <w:sz w:val="20"/>
                <w:szCs w:val="20"/>
              </w:rPr>
              <w:t>brzmienia</w:t>
            </w:r>
            <w:r w:rsidR="00C93278" w:rsidRPr="009A57CE">
              <w:rPr>
                <w:rFonts w:ascii="Open Sans" w:hAnsi="Open Sans" w:cs="Open Sans"/>
                <w:b/>
                <w:bCs/>
                <w:sz w:val="20"/>
                <w:szCs w:val="20"/>
              </w:rPr>
              <w:t xml:space="preserve"> przepisu</w:t>
            </w:r>
          </w:p>
        </w:tc>
        <w:tc>
          <w:tcPr>
            <w:tcW w:w="1428" w:type="dxa"/>
            <w:vAlign w:val="center"/>
          </w:tcPr>
          <w:p w14:paraId="2C049C38" w14:textId="382C7B91" w:rsidR="0090574C" w:rsidRPr="009A57CE" w:rsidRDefault="0090574C" w:rsidP="009A57CE">
            <w:pPr>
              <w:jc w:val="center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9A57CE">
              <w:rPr>
                <w:rFonts w:ascii="Open Sans" w:hAnsi="Open Sans" w:cs="Open Sans"/>
                <w:b/>
                <w:bCs/>
                <w:sz w:val="20"/>
                <w:szCs w:val="20"/>
              </w:rPr>
              <w:t>Stanowisko do uwagi</w:t>
            </w:r>
          </w:p>
        </w:tc>
      </w:tr>
      <w:tr w:rsidR="0090574C" w:rsidRPr="009A57CE" w14:paraId="27D19DF6" w14:textId="77777777" w:rsidTr="00022422">
        <w:tc>
          <w:tcPr>
            <w:tcW w:w="562" w:type="dxa"/>
          </w:tcPr>
          <w:p w14:paraId="743719D4" w14:textId="77777777" w:rsidR="0090574C" w:rsidRPr="009A57CE" w:rsidRDefault="0090574C" w:rsidP="008B766F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9A57CE">
              <w:rPr>
                <w:rFonts w:ascii="Open Sans" w:hAnsi="Open Sans" w:cs="Open Sans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14:paraId="00E6D6A0" w14:textId="3F33AC2D" w:rsidR="0090574C" w:rsidRPr="009A57CE" w:rsidRDefault="0069311F" w:rsidP="008B766F">
            <w:pPr>
              <w:jc w:val="both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Związek Pracodawców Polska Miedź</w:t>
            </w:r>
          </w:p>
        </w:tc>
        <w:tc>
          <w:tcPr>
            <w:tcW w:w="2694" w:type="dxa"/>
          </w:tcPr>
          <w:p w14:paraId="32C46E4D" w14:textId="7FE73C3F" w:rsidR="0090574C" w:rsidRPr="009A57CE" w:rsidRDefault="00022422" w:rsidP="008B766F">
            <w:pPr>
              <w:jc w:val="both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Załącznik</w:t>
            </w:r>
          </w:p>
        </w:tc>
        <w:tc>
          <w:tcPr>
            <w:tcW w:w="5953" w:type="dxa"/>
          </w:tcPr>
          <w:p w14:paraId="0F2AA09F" w14:textId="08CF076B" w:rsidR="00022422" w:rsidRPr="00022422" w:rsidRDefault="00022422" w:rsidP="00022422">
            <w:pPr>
              <w:jc w:val="both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W</w:t>
            </w:r>
            <w:r w:rsidRPr="00022422">
              <w:rPr>
                <w:rFonts w:ascii="Open Sans" w:hAnsi="Open Sans" w:cs="Open Sans"/>
                <w:sz w:val="20"/>
                <w:szCs w:val="20"/>
              </w:rPr>
              <w:t xml:space="preserve"> projekcie załącznika do rozporządzenia dla zdarzenia „Incydent dotyczący wydobywania kopalin” (sektor: Energia, podsektor: Wydobywanie kopalin), w pkt 2 dotyczącym czasu oddziaływania incydentu na świadczoną usługę, wskazano próg: „incydent doprowadził do przerwania wydobycia powyżej 72 godzin”.</w:t>
            </w:r>
          </w:p>
          <w:p w14:paraId="71609FE4" w14:textId="77777777" w:rsidR="00022422" w:rsidRPr="00022422" w:rsidRDefault="00022422" w:rsidP="00022422">
            <w:pPr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  <w:p w14:paraId="22E2ED82" w14:textId="77777777" w:rsidR="00022422" w:rsidRPr="00022422" w:rsidRDefault="00022422" w:rsidP="00022422">
            <w:pPr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022422">
              <w:rPr>
                <w:rFonts w:ascii="Open Sans" w:hAnsi="Open Sans" w:cs="Open Sans"/>
                <w:sz w:val="20"/>
                <w:szCs w:val="20"/>
              </w:rPr>
              <w:t>Obecne brzmienie może sugerować, że przesłanka uznania incydentu za poważny zostaje spełniona dopiero po faktycznym przekroczeniu 72 godzin przerwy w wydobyciu.</w:t>
            </w:r>
          </w:p>
          <w:p w14:paraId="76BE5B7B" w14:textId="77777777" w:rsidR="00022422" w:rsidRPr="00022422" w:rsidRDefault="00022422" w:rsidP="00022422">
            <w:pPr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022422">
              <w:rPr>
                <w:rFonts w:ascii="Open Sans" w:hAnsi="Open Sans" w:cs="Open Sans"/>
                <w:sz w:val="20"/>
                <w:szCs w:val="20"/>
              </w:rPr>
              <w:t>W przypadku incydentów, dla których już wcześniej, na podstawie dostępnych informacji i oceny skutków, można z odpowiednim prawdopodobieństwem przewidzieć, że przerwa w wydobyciu przekroczy 72 godziny, oczekiwanie na faktyczne przekroczenie tego czasu może prowadzić do nieuzasadnionego opóźnienia w kwalifikacji incydentu jako poważnego, a w konsekwencji również w jego zgłoszeniu.</w:t>
            </w:r>
          </w:p>
          <w:p w14:paraId="36351B78" w14:textId="77777777" w:rsidR="00022422" w:rsidRDefault="00022422" w:rsidP="00022422">
            <w:pPr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  <w:p w14:paraId="7FC873EB" w14:textId="74013906" w:rsidR="00022422" w:rsidRPr="00022422" w:rsidRDefault="00022422" w:rsidP="00022422">
            <w:pPr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022422">
              <w:rPr>
                <w:rFonts w:ascii="Open Sans" w:hAnsi="Open Sans" w:cs="Open Sans"/>
                <w:sz w:val="20"/>
                <w:szCs w:val="20"/>
              </w:rPr>
              <w:t>Proponuj</w:t>
            </w:r>
            <w:r>
              <w:rPr>
                <w:rFonts w:ascii="Open Sans" w:hAnsi="Open Sans" w:cs="Open Sans"/>
                <w:sz w:val="20"/>
                <w:szCs w:val="20"/>
              </w:rPr>
              <w:t>e się</w:t>
            </w:r>
            <w:r w:rsidRPr="00022422">
              <w:rPr>
                <w:rFonts w:ascii="Open Sans" w:hAnsi="Open Sans" w:cs="Open Sans"/>
                <w:sz w:val="20"/>
                <w:szCs w:val="20"/>
              </w:rPr>
              <w:t xml:space="preserve"> zmianę brzmienia pkt 2 na: „incydent spowodował przerwanie wydobycia na okres powyżej 72 godzin lub istnieją uzasadnione podstawy, wynikające z dostępnych informacji i oceny skutków incydentu, do przyjęcia, że przerwa w wydobyciu przekroczy 72 godziny.”</w:t>
            </w:r>
          </w:p>
          <w:p w14:paraId="4813F07D" w14:textId="77777777" w:rsidR="00022422" w:rsidRPr="00022422" w:rsidRDefault="00022422" w:rsidP="00022422">
            <w:pPr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  <w:p w14:paraId="473A40F5" w14:textId="3FFDB776" w:rsidR="0090574C" w:rsidRPr="009A57CE" w:rsidRDefault="00022422" w:rsidP="00022422">
            <w:pPr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022422">
              <w:rPr>
                <w:rFonts w:ascii="Open Sans" w:hAnsi="Open Sans" w:cs="Open Sans"/>
                <w:sz w:val="20"/>
                <w:szCs w:val="20"/>
              </w:rPr>
              <w:t>Takie brzmienie pozwalałoby na wcześniejsze zakwalifikowanie incydentu jako poważnego w sytuacji, gdy przewidywany czas przerwy można wiarygodnie określić przed faktycznym upływem 72 godzin.</w:t>
            </w:r>
          </w:p>
        </w:tc>
        <w:tc>
          <w:tcPr>
            <w:tcW w:w="3402" w:type="dxa"/>
          </w:tcPr>
          <w:p w14:paraId="72530CAA" w14:textId="414E22B9" w:rsidR="0090574C" w:rsidRPr="009A57CE" w:rsidRDefault="00022422" w:rsidP="008B766F">
            <w:pPr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022422">
              <w:rPr>
                <w:rFonts w:ascii="Open Sans" w:hAnsi="Open Sans" w:cs="Open Sans"/>
                <w:sz w:val="20"/>
                <w:szCs w:val="20"/>
              </w:rPr>
              <w:t>„incydent spowodował przerwanie wydobycia na okres powyżej 72 godzin lub istnieją uzasadnione podstawy, wynikające z dostępnych informacji i oceny skutków incydentu, do przyjęcia, że przerwa w wydobyciu przekroczy 72 godziny.”</w:t>
            </w:r>
          </w:p>
        </w:tc>
        <w:tc>
          <w:tcPr>
            <w:tcW w:w="1428" w:type="dxa"/>
          </w:tcPr>
          <w:p w14:paraId="330A28F2" w14:textId="77777777" w:rsidR="0090574C" w:rsidRPr="009A57CE" w:rsidRDefault="0090574C" w:rsidP="008B766F">
            <w:pPr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bookmarkEnd w:id="0"/>
    </w:tbl>
    <w:p w14:paraId="4A485AB3" w14:textId="77777777" w:rsidR="00CA2841" w:rsidRPr="009A57CE" w:rsidRDefault="00CA2841" w:rsidP="008B766F">
      <w:pPr>
        <w:spacing w:after="0" w:line="240" w:lineRule="auto"/>
        <w:rPr>
          <w:rFonts w:ascii="Open Sans" w:hAnsi="Open Sans" w:cs="Open Sans"/>
          <w:sz w:val="20"/>
          <w:szCs w:val="20"/>
        </w:rPr>
      </w:pPr>
    </w:p>
    <w:sectPr w:rsidR="00CA2841" w:rsidRPr="009A57CE" w:rsidSect="00B91BB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A66B1C" w14:textId="77777777" w:rsidR="006731C2" w:rsidRDefault="006731C2" w:rsidP="00CA2841">
      <w:pPr>
        <w:spacing w:after="0" w:line="240" w:lineRule="auto"/>
      </w:pPr>
      <w:r>
        <w:separator/>
      </w:r>
    </w:p>
  </w:endnote>
  <w:endnote w:type="continuationSeparator" w:id="0">
    <w:p w14:paraId="34E2B365" w14:textId="77777777" w:rsidR="006731C2" w:rsidRDefault="006731C2" w:rsidP="00CA28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273AC8" w14:textId="77777777" w:rsidR="006731C2" w:rsidRDefault="006731C2" w:rsidP="00CA2841">
      <w:pPr>
        <w:spacing w:after="0" w:line="240" w:lineRule="auto"/>
      </w:pPr>
      <w:r>
        <w:separator/>
      </w:r>
    </w:p>
  </w:footnote>
  <w:footnote w:type="continuationSeparator" w:id="0">
    <w:p w14:paraId="15E0ABB0" w14:textId="77777777" w:rsidR="006731C2" w:rsidRDefault="006731C2" w:rsidP="00CA284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841"/>
    <w:rsid w:val="00022422"/>
    <w:rsid w:val="00053B59"/>
    <w:rsid w:val="000A67AB"/>
    <w:rsid w:val="000F19E4"/>
    <w:rsid w:val="0019568F"/>
    <w:rsid w:val="001B734F"/>
    <w:rsid w:val="001E4824"/>
    <w:rsid w:val="002B5F94"/>
    <w:rsid w:val="0041567D"/>
    <w:rsid w:val="00435D45"/>
    <w:rsid w:val="004D7F1B"/>
    <w:rsid w:val="004F2D1D"/>
    <w:rsid w:val="0065784C"/>
    <w:rsid w:val="006731C2"/>
    <w:rsid w:val="0069311F"/>
    <w:rsid w:val="006974ED"/>
    <w:rsid w:val="00773DAD"/>
    <w:rsid w:val="007C1A31"/>
    <w:rsid w:val="008255DE"/>
    <w:rsid w:val="00894E5C"/>
    <w:rsid w:val="008A457A"/>
    <w:rsid w:val="008B1756"/>
    <w:rsid w:val="008B766F"/>
    <w:rsid w:val="0090574C"/>
    <w:rsid w:val="009271BE"/>
    <w:rsid w:val="009A57CE"/>
    <w:rsid w:val="009B5AD6"/>
    <w:rsid w:val="009E504D"/>
    <w:rsid w:val="009E6D70"/>
    <w:rsid w:val="00A8079E"/>
    <w:rsid w:val="00B829F8"/>
    <w:rsid w:val="00B9017D"/>
    <w:rsid w:val="00B91BB7"/>
    <w:rsid w:val="00C93278"/>
    <w:rsid w:val="00CA2841"/>
    <w:rsid w:val="00CD3075"/>
    <w:rsid w:val="00D35962"/>
    <w:rsid w:val="00DA4D99"/>
    <w:rsid w:val="00E40E3D"/>
    <w:rsid w:val="00EB31B4"/>
    <w:rsid w:val="00EC4C43"/>
    <w:rsid w:val="00EF494C"/>
    <w:rsid w:val="00EF5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543F60"/>
  <w15:chartTrackingRefBased/>
  <w15:docId w15:val="{6BE2EF6E-7A57-45BA-8729-04A92DBED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A284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A284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A2841"/>
    <w:rPr>
      <w:vertAlign w:val="superscript"/>
    </w:rPr>
  </w:style>
  <w:style w:type="table" w:styleId="Tabela-Siatka">
    <w:name w:val="Table Grid"/>
    <w:basedOn w:val="Standardowy"/>
    <w:uiPriority w:val="39"/>
    <w:rsid w:val="00CA28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4F2D1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F2D1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F2D1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F2D1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F2D1D"/>
    <w:rPr>
      <w:b/>
      <w:bCs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2242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2242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2242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16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468A9B-02CF-49B8-B19D-07AFA93A73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251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Wójcikiewicz-Kawa Agata</dc:creator>
  <cp:keywords/>
  <dc:description/>
  <cp:lastModifiedBy>Tomasz Kuydowicz</cp:lastModifiedBy>
  <cp:revision>9</cp:revision>
  <dcterms:created xsi:type="dcterms:W3CDTF">2024-06-17T09:23:00Z</dcterms:created>
  <dcterms:modified xsi:type="dcterms:W3CDTF">2026-09-28T09:53:00Z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da5d7e0-a6ae-47b8-8592-eac7f470fba7_Enabled">
    <vt:lpwstr>true</vt:lpwstr>
  </property>
  <property fmtid="{D5CDD505-2E9C-101B-9397-08002B2CF9AE}" pid="3" name="MSIP_Label_fda5d7e0-a6ae-47b8-8592-eac7f470fba7_SetDate">
    <vt:lpwstr>2026-09-28T08:54:39Z</vt:lpwstr>
  </property>
  <property fmtid="{D5CDD505-2E9C-101B-9397-08002B2CF9AE}" pid="4" name="MSIP_Label_fda5d7e0-a6ae-47b8-8592-eac7f470fba7_Method">
    <vt:lpwstr>Standard</vt:lpwstr>
  </property>
  <property fmtid="{D5CDD505-2E9C-101B-9397-08002B2CF9AE}" pid="5" name="MSIP_Label_fda5d7e0-a6ae-47b8-8592-eac7f470fba7_Name">
    <vt:lpwstr>Wewnętrzny - SL2 -bez AI</vt:lpwstr>
  </property>
  <property fmtid="{D5CDD505-2E9C-101B-9397-08002B2CF9AE}" pid="6" name="MSIP_Label_fda5d7e0-a6ae-47b8-8592-eac7f470fba7_SiteId">
    <vt:lpwstr>f583f0e4-0fe2-4e46-8bc7-ff287059e206</vt:lpwstr>
  </property>
  <property fmtid="{D5CDD505-2E9C-101B-9397-08002B2CF9AE}" pid="7" name="MSIP_Label_fda5d7e0-a6ae-47b8-8592-eac7f470fba7_ActionId">
    <vt:lpwstr>2a2ef3f0-d226-466e-be79-e556b7b1f67f</vt:lpwstr>
  </property>
  <property fmtid="{D5CDD505-2E9C-101B-9397-08002B2CF9AE}" pid="8" name="MSIP_Label_fda5d7e0-a6ae-47b8-8592-eac7f470fba7_ContentBits">
    <vt:lpwstr>0</vt:lpwstr>
  </property>
</Properties>
</file>