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4C903" w14:textId="1EEE2C54" w:rsidR="009A57CE" w:rsidRPr="009A57CE" w:rsidRDefault="00CA2841" w:rsidP="008B766F">
      <w:pPr>
        <w:spacing w:after="0" w:line="240" w:lineRule="auto"/>
        <w:jc w:val="center"/>
        <w:rPr>
          <w:rFonts w:ascii="Open Sans" w:hAnsi="Open Sans" w:cs="Open Sans"/>
          <w:b/>
          <w:bCs/>
          <w:sz w:val="20"/>
          <w:szCs w:val="20"/>
        </w:rPr>
      </w:pPr>
      <w:bookmarkStart w:id="0" w:name="_Hlk107398740"/>
      <w:r w:rsidRPr="009A57CE">
        <w:rPr>
          <w:rFonts w:ascii="Open Sans" w:hAnsi="Open Sans" w:cs="Open Sans"/>
          <w:b/>
          <w:bCs/>
          <w:sz w:val="20"/>
          <w:szCs w:val="20"/>
        </w:rPr>
        <w:t xml:space="preserve">Uwagi do </w:t>
      </w:r>
      <w:r w:rsidR="009A57CE" w:rsidRPr="009A57CE">
        <w:rPr>
          <w:rFonts w:ascii="Open Sans" w:hAnsi="Open Sans" w:cs="Open Sans"/>
          <w:b/>
          <w:bCs/>
          <w:sz w:val="20"/>
          <w:szCs w:val="20"/>
        </w:rPr>
        <w:t xml:space="preserve">projektu </w:t>
      </w:r>
      <w:r w:rsidR="00CE6CDA" w:rsidRPr="00CE6CDA">
        <w:rPr>
          <w:rFonts w:ascii="Open Sans" w:hAnsi="Open Sans" w:cs="Open Sans"/>
          <w:b/>
          <w:bCs/>
          <w:sz w:val="20"/>
          <w:szCs w:val="20"/>
        </w:rPr>
        <w:t>Projekt ustawy o zmianie ustawy – Prawo energetyczne (UD457</w:t>
      </w:r>
      <w:r w:rsidR="00CE6CDA">
        <w:rPr>
          <w:rFonts w:ascii="Open Sans" w:hAnsi="Open Sans" w:cs="Open Sans"/>
          <w:b/>
          <w:bCs/>
          <w:sz w:val="20"/>
          <w:szCs w:val="20"/>
        </w:rPr>
        <w:t>)</w:t>
      </w:r>
    </w:p>
    <w:p w14:paraId="711D6FEE" w14:textId="77777777" w:rsidR="00CA2841" w:rsidRPr="009A57CE" w:rsidRDefault="00CA2841" w:rsidP="008B766F">
      <w:pPr>
        <w:spacing w:after="0" w:line="240" w:lineRule="auto"/>
        <w:rPr>
          <w:rFonts w:ascii="Open Sans" w:hAnsi="Open Sans" w:cs="Open Sans"/>
          <w:sz w:val="20"/>
          <w:szCs w:val="20"/>
        </w:rPr>
      </w:pPr>
    </w:p>
    <w:tbl>
      <w:tblPr>
        <w:tblStyle w:val="Tabela-Siatka"/>
        <w:tblpPr w:leftFromText="142" w:rightFromText="142" w:vertAnchor="text" w:horzAnchor="margin" w:tblpXSpec="center" w:tblpY="58"/>
        <w:tblW w:w="15740" w:type="dxa"/>
        <w:tblLayout w:type="fixed"/>
        <w:tblLook w:val="04A0" w:firstRow="1" w:lastRow="0" w:firstColumn="1" w:lastColumn="0" w:noHBand="0" w:noVBand="1"/>
      </w:tblPr>
      <w:tblGrid>
        <w:gridCol w:w="562"/>
        <w:gridCol w:w="1701"/>
        <w:gridCol w:w="2694"/>
        <w:gridCol w:w="5103"/>
        <w:gridCol w:w="4252"/>
        <w:gridCol w:w="1428"/>
      </w:tblGrid>
      <w:tr w:rsidR="0090574C" w:rsidRPr="009A57CE" w14:paraId="47E9ED08" w14:textId="77777777" w:rsidTr="009A57CE">
        <w:trPr>
          <w:trHeight w:val="551"/>
          <w:tblHeader/>
        </w:trPr>
        <w:tc>
          <w:tcPr>
            <w:tcW w:w="562" w:type="dxa"/>
            <w:vAlign w:val="center"/>
          </w:tcPr>
          <w:p w14:paraId="115BF413" w14:textId="6257DDCF" w:rsidR="0090574C" w:rsidRPr="009A57CE" w:rsidRDefault="0090574C" w:rsidP="009A57CE">
            <w:pPr>
              <w:jc w:val="center"/>
              <w:rPr>
                <w:rFonts w:ascii="Open Sans" w:hAnsi="Open Sans" w:cs="Open Sans"/>
                <w:b/>
                <w:bCs/>
                <w:sz w:val="20"/>
                <w:szCs w:val="20"/>
              </w:rPr>
            </w:pPr>
            <w:r w:rsidRPr="009A57CE">
              <w:rPr>
                <w:rFonts w:ascii="Open Sans" w:hAnsi="Open Sans" w:cs="Open Sans"/>
                <w:b/>
                <w:bCs/>
                <w:sz w:val="20"/>
                <w:szCs w:val="20"/>
              </w:rPr>
              <w:t>Lp.</w:t>
            </w:r>
          </w:p>
        </w:tc>
        <w:tc>
          <w:tcPr>
            <w:tcW w:w="1701" w:type="dxa"/>
            <w:vAlign w:val="center"/>
          </w:tcPr>
          <w:p w14:paraId="0FAF4510" w14:textId="4FD6EB74" w:rsidR="0090574C" w:rsidRPr="009A57CE" w:rsidRDefault="0090574C" w:rsidP="009A57CE">
            <w:pPr>
              <w:jc w:val="center"/>
              <w:rPr>
                <w:rFonts w:ascii="Open Sans" w:hAnsi="Open Sans" w:cs="Open Sans"/>
                <w:b/>
                <w:bCs/>
                <w:sz w:val="20"/>
                <w:szCs w:val="20"/>
              </w:rPr>
            </w:pPr>
            <w:r w:rsidRPr="009A57CE">
              <w:rPr>
                <w:rFonts w:ascii="Open Sans" w:hAnsi="Open Sans" w:cs="Open Sans"/>
                <w:b/>
                <w:bCs/>
                <w:sz w:val="20"/>
                <w:szCs w:val="20"/>
              </w:rPr>
              <w:t>Podmiot wnoszący uwag</w:t>
            </w:r>
            <w:r w:rsidR="00B91BB7" w:rsidRPr="009A57CE">
              <w:rPr>
                <w:rFonts w:ascii="Open Sans" w:hAnsi="Open Sans" w:cs="Open Sans"/>
                <w:b/>
                <w:bCs/>
                <w:sz w:val="20"/>
                <w:szCs w:val="20"/>
              </w:rPr>
              <w:t>ę</w:t>
            </w:r>
          </w:p>
        </w:tc>
        <w:tc>
          <w:tcPr>
            <w:tcW w:w="2694" w:type="dxa"/>
            <w:vAlign w:val="center"/>
          </w:tcPr>
          <w:p w14:paraId="51F92737" w14:textId="202BCB41" w:rsidR="0090574C" w:rsidRPr="009A57CE" w:rsidRDefault="0090574C" w:rsidP="009A57CE">
            <w:pPr>
              <w:jc w:val="center"/>
              <w:rPr>
                <w:rFonts w:ascii="Open Sans" w:hAnsi="Open Sans" w:cs="Open Sans"/>
                <w:b/>
                <w:bCs/>
                <w:sz w:val="20"/>
                <w:szCs w:val="20"/>
              </w:rPr>
            </w:pPr>
            <w:r w:rsidRPr="009A57CE">
              <w:rPr>
                <w:rFonts w:ascii="Open Sans" w:hAnsi="Open Sans" w:cs="Open Sans"/>
                <w:b/>
                <w:bCs/>
                <w:sz w:val="20"/>
                <w:szCs w:val="20"/>
              </w:rPr>
              <w:t>Jednostka redakcyjna, do której wnoszon</w:t>
            </w:r>
            <w:r w:rsidR="00B91BB7" w:rsidRPr="009A57CE">
              <w:rPr>
                <w:rFonts w:ascii="Open Sans" w:hAnsi="Open Sans" w:cs="Open Sans"/>
                <w:b/>
                <w:bCs/>
                <w:sz w:val="20"/>
                <w:szCs w:val="20"/>
              </w:rPr>
              <w:t>a jest</w:t>
            </w:r>
            <w:r w:rsidRPr="009A57CE">
              <w:rPr>
                <w:rFonts w:ascii="Open Sans" w:hAnsi="Open Sans" w:cs="Open Sans"/>
                <w:b/>
                <w:bCs/>
                <w:sz w:val="20"/>
                <w:szCs w:val="20"/>
              </w:rPr>
              <w:t xml:space="preserve"> uwag</w:t>
            </w:r>
            <w:r w:rsidR="00B91BB7" w:rsidRPr="009A57CE">
              <w:rPr>
                <w:rFonts w:ascii="Open Sans" w:hAnsi="Open Sans" w:cs="Open Sans"/>
                <w:b/>
                <w:bCs/>
                <w:sz w:val="20"/>
                <w:szCs w:val="20"/>
              </w:rPr>
              <w:t>a</w:t>
            </w:r>
          </w:p>
        </w:tc>
        <w:tc>
          <w:tcPr>
            <w:tcW w:w="5103" w:type="dxa"/>
            <w:vAlign w:val="center"/>
          </w:tcPr>
          <w:p w14:paraId="74AACE5A" w14:textId="0BDDBBD7" w:rsidR="0090574C" w:rsidRPr="009A57CE" w:rsidRDefault="0090574C" w:rsidP="009A57CE">
            <w:pPr>
              <w:jc w:val="center"/>
              <w:rPr>
                <w:rFonts w:ascii="Open Sans" w:hAnsi="Open Sans" w:cs="Open Sans"/>
                <w:b/>
                <w:bCs/>
                <w:sz w:val="20"/>
                <w:szCs w:val="20"/>
              </w:rPr>
            </w:pPr>
            <w:r w:rsidRPr="009A57CE">
              <w:rPr>
                <w:rFonts w:ascii="Open Sans" w:hAnsi="Open Sans" w:cs="Open Sans"/>
                <w:b/>
                <w:bCs/>
                <w:sz w:val="20"/>
                <w:szCs w:val="20"/>
              </w:rPr>
              <w:t>Treść uwagi</w:t>
            </w:r>
          </w:p>
        </w:tc>
        <w:tc>
          <w:tcPr>
            <w:tcW w:w="4252" w:type="dxa"/>
            <w:vAlign w:val="center"/>
          </w:tcPr>
          <w:p w14:paraId="7C9E6D74" w14:textId="597CDAA9" w:rsidR="0090574C" w:rsidRPr="009A57CE" w:rsidRDefault="0090574C" w:rsidP="009A57CE">
            <w:pPr>
              <w:jc w:val="center"/>
              <w:rPr>
                <w:rFonts w:ascii="Open Sans" w:hAnsi="Open Sans" w:cs="Open Sans"/>
                <w:b/>
                <w:bCs/>
                <w:sz w:val="20"/>
                <w:szCs w:val="20"/>
              </w:rPr>
            </w:pPr>
            <w:r w:rsidRPr="009A57CE">
              <w:rPr>
                <w:rFonts w:ascii="Open Sans" w:hAnsi="Open Sans" w:cs="Open Sans"/>
                <w:b/>
                <w:bCs/>
                <w:sz w:val="20"/>
                <w:szCs w:val="20"/>
              </w:rPr>
              <w:t xml:space="preserve">Propozycja </w:t>
            </w:r>
            <w:r w:rsidR="00773DAD" w:rsidRPr="009A57CE">
              <w:rPr>
                <w:rFonts w:ascii="Open Sans" w:hAnsi="Open Sans" w:cs="Open Sans"/>
                <w:b/>
                <w:bCs/>
                <w:sz w:val="20"/>
                <w:szCs w:val="20"/>
              </w:rPr>
              <w:t>brzmienia</w:t>
            </w:r>
            <w:r w:rsidR="00C93278" w:rsidRPr="009A57CE">
              <w:rPr>
                <w:rFonts w:ascii="Open Sans" w:hAnsi="Open Sans" w:cs="Open Sans"/>
                <w:b/>
                <w:bCs/>
                <w:sz w:val="20"/>
                <w:szCs w:val="20"/>
              </w:rPr>
              <w:t xml:space="preserve"> przepisu</w:t>
            </w:r>
          </w:p>
        </w:tc>
        <w:tc>
          <w:tcPr>
            <w:tcW w:w="1428" w:type="dxa"/>
            <w:vAlign w:val="center"/>
          </w:tcPr>
          <w:p w14:paraId="2C049C38" w14:textId="382C7B91" w:rsidR="0090574C" w:rsidRPr="009A57CE" w:rsidRDefault="0090574C" w:rsidP="009A57CE">
            <w:pPr>
              <w:jc w:val="center"/>
              <w:rPr>
                <w:rFonts w:ascii="Open Sans" w:hAnsi="Open Sans" w:cs="Open Sans"/>
                <w:b/>
                <w:bCs/>
                <w:sz w:val="20"/>
                <w:szCs w:val="20"/>
              </w:rPr>
            </w:pPr>
            <w:r w:rsidRPr="009A57CE">
              <w:rPr>
                <w:rFonts w:ascii="Open Sans" w:hAnsi="Open Sans" w:cs="Open Sans"/>
                <w:b/>
                <w:bCs/>
                <w:sz w:val="20"/>
                <w:szCs w:val="20"/>
              </w:rPr>
              <w:t>Stanowisko do uwagi</w:t>
            </w:r>
          </w:p>
        </w:tc>
      </w:tr>
      <w:tr w:rsidR="0090574C" w:rsidRPr="009A57CE" w14:paraId="27D19DF6" w14:textId="77777777" w:rsidTr="009B5AD6">
        <w:tc>
          <w:tcPr>
            <w:tcW w:w="562" w:type="dxa"/>
          </w:tcPr>
          <w:p w14:paraId="743719D4" w14:textId="77777777" w:rsidR="0090574C" w:rsidRPr="009A57CE" w:rsidRDefault="0090574C" w:rsidP="008B766F">
            <w:pPr>
              <w:jc w:val="center"/>
              <w:rPr>
                <w:rFonts w:ascii="Open Sans" w:hAnsi="Open Sans" w:cs="Open Sans"/>
                <w:sz w:val="20"/>
                <w:szCs w:val="20"/>
              </w:rPr>
            </w:pPr>
            <w:r w:rsidRPr="009A57CE">
              <w:rPr>
                <w:rFonts w:ascii="Open Sans" w:hAnsi="Open Sans" w:cs="Open Sans"/>
                <w:sz w:val="20"/>
                <w:szCs w:val="20"/>
              </w:rPr>
              <w:t>1</w:t>
            </w:r>
          </w:p>
        </w:tc>
        <w:tc>
          <w:tcPr>
            <w:tcW w:w="1701" w:type="dxa"/>
          </w:tcPr>
          <w:p w14:paraId="00E6D6A0" w14:textId="185F7413" w:rsidR="0090574C" w:rsidRPr="00CE6CDA" w:rsidRDefault="00CE6CDA" w:rsidP="008B766F">
            <w:pPr>
              <w:jc w:val="both"/>
              <w:rPr>
                <w:rFonts w:ascii="Open Sans" w:hAnsi="Open Sans" w:cs="Open Sans"/>
                <w:sz w:val="20"/>
                <w:szCs w:val="20"/>
              </w:rPr>
            </w:pPr>
            <w:r>
              <w:rPr>
                <w:rFonts w:ascii="Open Sans" w:hAnsi="Open Sans" w:cs="Open Sans"/>
                <w:sz w:val="20"/>
                <w:szCs w:val="20"/>
              </w:rPr>
              <w:t>Związek Pracodawców Polska Miedź</w:t>
            </w:r>
          </w:p>
        </w:tc>
        <w:tc>
          <w:tcPr>
            <w:tcW w:w="2694" w:type="dxa"/>
          </w:tcPr>
          <w:p w14:paraId="32C46E4D" w14:textId="0A1D59DA" w:rsidR="0090574C" w:rsidRPr="009A57CE" w:rsidRDefault="00106754" w:rsidP="008B766F">
            <w:pPr>
              <w:jc w:val="both"/>
              <w:rPr>
                <w:rFonts w:ascii="Open Sans" w:hAnsi="Open Sans" w:cs="Open Sans"/>
                <w:sz w:val="20"/>
                <w:szCs w:val="20"/>
              </w:rPr>
            </w:pPr>
            <w:r w:rsidRPr="00106754">
              <w:rPr>
                <w:rFonts w:ascii="Open Sans" w:hAnsi="Open Sans" w:cs="Open Sans"/>
                <w:b/>
                <w:bCs/>
                <w:i/>
                <w:iCs/>
                <w:sz w:val="20"/>
                <w:szCs w:val="20"/>
              </w:rPr>
              <w:t>Projekt ustawy o zmianie ustawy – Prawo energetyczne (UD457 – opłaty koncesyjne</w:t>
            </w:r>
            <w:r>
              <w:rPr>
                <w:rFonts w:ascii="Open Sans" w:hAnsi="Open Sans" w:cs="Open Sans"/>
                <w:b/>
                <w:bCs/>
                <w:i/>
                <w:iCs/>
                <w:sz w:val="20"/>
                <w:szCs w:val="20"/>
              </w:rPr>
              <w:t xml:space="preserve"> i przedkoncesyjne</w:t>
            </w:r>
            <w:r w:rsidRPr="00106754">
              <w:rPr>
                <w:rFonts w:ascii="Open Sans" w:hAnsi="Open Sans" w:cs="Open Sans"/>
                <w:b/>
                <w:bCs/>
                <w:i/>
                <w:iCs/>
                <w:sz w:val="20"/>
                <w:szCs w:val="20"/>
              </w:rPr>
              <w:t>)</w:t>
            </w:r>
          </w:p>
        </w:tc>
        <w:tc>
          <w:tcPr>
            <w:tcW w:w="5103" w:type="dxa"/>
          </w:tcPr>
          <w:p w14:paraId="473A40F5" w14:textId="5E82AED0" w:rsidR="0090574C" w:rsidRPr="00106754" w:rsidRDefault="00602279" w:rsidP="007F1487">
            <w:pPr>
              <w:pStyle w:val="Default"/>
              <w:jc w:val="both"/>
              <w:rPr>
                <w:rFonts w:ascii="Open Sans" w:hAnsi="Open Sans" w:cs="Open Sans"/>
                <w:sz w:val="20"/>
                <w:szCs w:val="20"/>
              </w:rPr>
            </w:pPr>
            <w:r w:rsidRPr="00106754">
              <w:rPr>
                <w:rFonts w:ascii="Open Sans" w:hAnsi="Open Sans" w:cs="Open Sans"/>
                <w:sz w:val="20"/>
                <w:szCs w:val="20"/>
              </w:rPr>
              <w:t xml:space="preserve">Wejście w życie projektowanej ustawy będzie skutkowało wzrostem opłaty przedkoncesyjnej oraz opłaty koncesyjnej dla przedsiębiorstw sektora energetycznego oraz uregulowaniem zasad wnoszenia opłaty przedkoncesyjnej. Łączna wysokość opłat przedkoncesyjnych oraz opłat koncesyjnych, które zgodnie z wykazem OSR poniosą w 100% duże przedsiębiorstwa jest szacowana na 3564 mln. zł. Tak znaczący wzrost kosztów będzie skutkował znaczącym wzrostem opłat ponoszonych przez polskie przedsiębiorstwa, które mając aktualnie najwyższe w Europie ceny energii elektrycznej, ceny gazu </w:t>
            </w:r>
            <w:r w:rsidR="007F1487" w:rsidRPr="00106754">
              <w:rPr>
                <w:rFonts w:ascii="Open Sans" w:hAnsi="Open Sans" w:cs="Open Sans"/>
                <w:sz w:val="20"/>
                <w:szCs w:val="20"/>
              </w:rPr>
              <w:t xml:space="preserve">nie będą w stanie konkurować ze swoimi produktami. Bez stabilnych cen energii elektrycznej, gazu opłat wnoszonych do budżetu państwa przez sektor przemysłowy nie będzie możliwe utrzymanie silnej bazy przemysłowej, miejsc pracy, kompetencji technologicznych oraz zdolności inwestycyjnych. </w:t>
            </w:r>
          </w:p>
        </w:tc>
        <w:tc>
          <w:tcPr>
            <w:tcW w:w="4252" w:type="dxa"/>
          </w:tcPr>
          <w:p w14:paraId="270320C8" w14:textId="7EFE0F2D" w:rsidR="00106754" w:rsidRPr="00106754" w:rsidRDefault="007F1487" w:rsidP="00106754">
            <w:pPr>
              <w:jc w:val="both"/>
              <w:rPr>
                <w:rFonts w:ascii="Open Sans" w:hAnsi="Open Sans" w:cs="Open Sans"/>
                <w:sz w:val="20"/>
                <w:szCs w:val="20"/>
              </w:rPr>
            </w:pPr>
            <w:r w:rsidRPr="007F1487">
              <w:rPr>
                <w:rFonts w:ascii="Open Sans" w:hAnsi="Open Sans" w:cs="Open Sans"/>
                <w:sz w:val="20"/>
                <w:szCs w:val="20"/>
              </w:rPr>
              <w:t xml:space="preserve">Postulujemy utrzymanie opłat koncesyjnych </w:t>
            </w:r>
            <w:r>
              <w:rPr>
                <w:rFonts w:ascii="Open Sans" w:hAnsi="Open Sans" w:cs="Open Sans"/>
                <w:sz w:val="20"/>
                <w:szCs w:val="20"/>
              </w:rPr>
              <w:t xml:space="preserve">oraz przedkoncesyjnych </w:t>
            </w:r>
            <w:r w:rsidRPr="007F1487">
              <w:rPr>
                <w:rFonts w:ascii="Open Sans" w:hAnsi="Open Sans" w:cs="Open Sans"/>
                <w:sz w:val="20"/>
                <w:szCs w:val="20"/>
              </w:rPr>
              <w:t xml:space="preserve">na doczasowym poziomie </w:t>
            </w:r>
            <w:r>
              <w:rPr>
                <w:rFonts w:ascii="Open Sans" w:hAnsi="Open Sans" w:cs="Open Sans"/>
                <w:sz w:val="20"/>
                <w:szCs w:val="20"/>
              </w:rPr>
              <w:t>do momentu, kiedy zostaną zidentyfikowane rzeczywiste korzyści dla przedsiębiorstw przemysłowych oraz energochłonnych po wprowadzeniu aktów legislacyjnych</w:t>
            </w:r>
            <w:r w:rsidR="00106754">
              <w:rPr>
                <w:rFonts w:ascii="Open Sans" w:hAnsi="Open Sans" w:cs="Open Sans"/>
                <w:sz w:val="20"/>
                <w:szCs w:val="20"/>
              </w:rPr>
              <w:t>, które mają podnieść konkurencyjność polskiego przemysłu (CISAF, nowa pula rekompensat  dla sektorów i podsektorów energochłonnych (nowe 22 kody PKD),</w:t>
            </w:r>
            <w:r>
              <w:rPr>
                <w:rFonts w:ascii="Open Sans" w:hAnsi="Open Sans" w:cs="Open Sans"/>
                <w:sz w:val="20"/>
                <w:szCs w:val="20"/>
              </w:rPr>
              <w:t xml:space="preserve"> </w:t>
            </w:r>
            <w:r w:rsidR="00106754" w:rsidRPr="00106754">
              <w:rPr>
                <w:rFonts w:ascii="Open Sans" w:hAnsi="Open Sans" w:cs="Open Sans"/>
                <w:sz w:val="20"/>
                <w:szCs w:val="20"/>
              </w:rPr>
              <w:t>Rozporządzenie Ministra Energii z dnia 3 września 2026 r. w sprawie sposobu kształtowania i kalkulacji taryf oraz sposobu rozliczeń w obrocie energią elektryczną</w:t>
            </w:r>
            <w:r w:rsidR="00106754">
              <w:rPr>
                <w:rFonts w:ascii="Open Sans" w:hAnsi="Open Sans" w:cs="Open Sans"/>
                <w:sz w:val="20"/>
                <w:szCs w:val="20"/>
              </w:rPr>
              <w:t>….)</w:t>
            </w:r>
          </w:p>
          <w:p w14:paraId="72530CAA" w14:textId="3E0D660F" w:rsidR="0090574C" w:rsidRPr="009A57CE" w:rsidRDefault="0090574C" w:rsidP="008B766F">
            <w:pPr>
              <w:jc w:val="both"/>
              <w:rPr>
                <w:rFonts w:ascii="Open Sans" w:hAnsi="Open Sans" w:cs="Open Sans"/>
                <w:sz w:val="20"/>
                <w:szCs w:val="20"/>
              </w:rPr>
            </w:pPr>
          </w:p>
        </w:tc>
        <w:tc>
          <w:tcPr>
            <w:tcW w:w="1428" w:type="dxa"/>
          </w:tcPr>
          <w:p w14:paraId="330A28F2" w14:textId="77777777" w:rsidR="0090574C" w:rsidRPr="009A57CE" w:rsidRDefault="0090574C" w:rsidP="008B766F">
            <w:pPr>
              <w:jc w:val="both"/>
              <w:rPr>
                <w:rFonts w:ascii="Open Sans" w:hAnsi="Open Sans" w:cs="Open Sans"/>
                <w:sz w:val="20"/>
                <w:szCs w:val="20"/>
              </w:rPr>
            </w:pPr>
          </w:p>
        </w:tc>
      </w:tr>
      <w:tr w:rsidR="0090574C" w:rsidRPr="009A57CE" w14:paraId="4AE66715" w14:textId="77777777" w:rsidTr="009B5AD6">
        <w:tc>
          <w:tcPr>
            <w:tcW w:w="562" w:type="dxa"/>
          </w:tcPr>
          <w:p w14:paraId="6AFC8947" w14:textId="6420194E" w:rsidR="0090574C" w:rsidRPr="009A57CE" w:rsidRDefault="0090574C" w:rsidP="008B766F">
            <w:pPr>
              <w:jc w:val="center"/>
              <w:rPr>
                <w:rFonts w:ascii="Open Sans" w:hAnsi="Open Sans" w:cs="Open Sans"/>
                <w:sz w:val="20"/>
                <w:szCs w:val="20"/>
              </w:rPr>
            </w:pPr>
            <w:r w:rsidRPr="009A57CE">
              <w:rPr>
                <w:rFonts w:ascii="Open Sans" w:hAnsi="Open Sans" w:cs="Open Sans"/>
                <w:sz w:val="20"/>
                <w:szCs w:val="20"/>
              </w:rPr>
              <w:t>2</w:t>
            </w:r>
          </w:p>
        </w:tc>
        <w:tc>
          <w:tcPr>
            <w:tcW w:w="1701" w:type="dxa"/>
          </w:tcPr>
          <w:p w14:paraId="752B4D6B" w14:textId="7D27FEA6" w:rsidR="0090574C" w:rsidRPr="009A57CE" w:rsidRDefault="00CE6CDA" w:rsidP="008B766F">
            <w:pPr>
              <w:jc w:val="both"/>
              <w:rPr>
                <w:rFonts w:ascii="Open Sans" w:hAnsi="Open Sans" w:cs="Open Sans"/>
                <w:sz w:val="20"/>
                <w:szCs w:val="20"/>
              </w:rPr>
            </w:pPr>
            <w:r w:rsidRPr="00CE6CDA">
              <w:rPr>
                <w:rFonts w:ascii="Open Sans" w:hAnsi="Open Sans" w:cs="Open Sans"/>
                <w:sz w:val="20"/>
                <w:szCs w:val="20"/>
              </w:rPr>
              <w:t>Związek Pracodawców Polska Miedź</w:t>
            </w:r>
          </w:p>
        </w:tc>
        <w:tc>
          <w:tcPr>
            <w:tcW w:w="2694" w:type="dxa"/>
          </w:tcPr>
          <w:p w14:paraId="1945FFFA" w14:textId="15022617" w:rsidR="0090574C" w:rsidRPr="009A57CE" w:rsidRDefault="00D60D4C" w:rsidP="008B766F">
            <w:pPr>
              <w:jc w:val="both"/>
              <w:rPr>
                <w:rFonts w:ascii="Open Sans" w:hAnsi="Open Sans" w:cs="Open Sans"/>
                <w:sz w:val="20"/>
                <w:szCs w:val="20"/>
              </w:rPr>
            </w:pPr>
            <w:r>
              <w:rPr>
                <w:rFonts w:ascii="Open Sans" w:hAnsi="Open Sans" w:cs="Open Sans"/>
                <w:sz w:val="20"/>
                <w:szCs w:val="20"/>
              </w:rPr>
              <w:t xml:space="preserve">Art. 1 pkt 3 </w:t>
            </w:r>
          </w:p>
        </w:tc>
        <w:tc>
          <w:tcPr>
            <w:tcW w:w="5103" w:type="dxa"/>
          </w:tcPr>
          <w:p w14:paraId="58619469" w14:textId="4481CAC6" w:rsidR="00F32DEC" w:rsidRDefault="00D60D4C" w:rsidP="008B766F">
            <w:pPr>
              <w:jc w:val="both"/>
              <w:rPr>
                <w:rFonts w:ascii="Open Sans" w:hAnsi="Open Sans" w:cs="Open Sans"/>
                <w:sz w:val="20"/>
                <w:szCs w:val="20"/>
              </w:rPr>
            </w:pPr>
            <w:r>
              <w:rPr>
                <w:rFonts w:ascii="Open Sans" w:hAnsi="Open Sans" w:cs="Open Sans"/>
                <w:sz w:val="20"/>
                <w:szCs w:val="20"/>
              </w:rPr>
              <w:t>Projekt zakłada 10 krotne podniesienie stawki opłaty koncesyjnej, bez jednoczesne górnego pułapu takiej opłaty. W praktyce nowy mechanizm oznacza podniesienie kosztów pozyskania energii elektrycznej i gazu o 0,5 gr. do każdej wydatkowanej złotówki. Jest niemal pewne, że nowy koszt przez koncesjonariuszy zostanie przeniesiony na odbiorców. W efekcie po raz kolejny największy realny koszt poniesie sektor energochłonny. Dla odbiorców</w:t>
            </w:r>
            <w:r w:rsidR="00F32DEC">
              <w:rPr>
                <w:rFonts w:ascii="Open Sans" w:hAnsi="Open Sans" w:cs="Open Sans"/>
                <w:sz w:val="20"/>
                <w:szCs w:val="20"/>
              </w:rPr>
              <w:t xml:space="preserve">, których łączna konsumpcja mediów energetycznych mierzona jest w setkach GWh, a nawet w TWh – zmiana </w:t>
            </w:r>
            <w:r w:rsidR="00A31359">
              <w:rPr>
                <w:rFonts w:ascii="Open Sans" w:hAnsi="Open Sans" w:cs="Open Sans"/>
                <w:sz w:val="20"/>
                <w:szCs w:val="20"/>
              </w:rPr>
              <w:t>współczynnika</w:t>
            </w:r>
            <w:r w:rsidR="00F32DEC">
              <w:rPr>
                <w:rFonts w:ascii="Open Sans" w:hAnsi="Open Sans" w:cs="Open Sans"/>
                <w:sz w:val="20"/>
                <w:szCs w:val="20"/>
              </w:rPr>
              <w:t xml:space="preserve"> służącego obliczeniu opłat koncesyjnej z 0,0005 na 0,005 </w:t>
            </w:r>
            <w:r w:rsidR="00F32DEC">
              <w:rPr>
                <w:rFonts w:ascii="Open Sans" w:hAnsi="Open Sans" w:cs="Open Sans"/>
                <w:sz w:val="20"/>
                <w:szCs w:val="20"/>
              </w:rPr>
              <w:lastRenderedPageBreak/>
              <w:t>oznacza wzrost kosztów pozyskania tych mediów o nawet  kilkadziesiąt milionów złotych rocznie.</w:t>
            </w:r>
          </w:p>
          <w:p w14:paraId="0F0F5927" w14:textId="77777777" w:rsidR="00F32DEC" w:rsidRDefault="00F32DEC" w:rsidP="008B766F">
            <w:pPr>
              <w:jc w:val="both"/>
              <w:rPr>
                <w:rFonts w:ascii="Open Sans" w:hAnsi="Open Sans" w:cs="Open Sans"/>
                <w:sz w:val="20"/>
                <w:szCs w:val="20"/>
              </w:rPr>
            </w:pPr>
          </w:p>
          <w:p w14:paraId="5E2FAA7B" w14:textId="77777777" w:rsidR="0090574C" w:rsidRDefault="00F32DEC" w:rsidP="008B766F">
            <w:pPr>
              <w:jc w:val="both"/>
              <w:rPr>
                <w:rFonts w:ascii="Open Sans" w:hAnsi="Open Sans" w:cs="Open Sans"/>
                <w:sz w:val="20"/>
                <w:szCs w:val="20"/>
              </w:rPr>
            </w:pPr>
            <w:r>
              <w:rPr>
                <w:rFonts w:ascii="Open Sans" w:hAnsi="Open Sans" w:cs="Open Sans"/>
                <w:sz w:val="20"/>
                <w:szCs w:val="20"/>
              </w:rPr>
              <w:t>Jest to kolejny element zwiększający koszty energii i obniżający konkurencyjność polskiego przemysłu. To wszystko w sytuacji – gdy dotychczasowe próby obniżenia opłat (metodami legislacyjnymi) dla sektora energochłonnego nie przynoszą realnej pomocy (wątpliwe korzyści z nowych taryf przemysłowych; ograniczona możliwość korzystania z projektowanego mechanizmu CISAF, z uwagi na mechanizm kumulacji pomocy).</w:t>
            </w:r>
          </w:p>
          <w:p w14:paraId="16F6A781" w14:textId="77777777" w:rsidR="00F32DEC" w:rsidRDefault="00F32DEC" w:rsidP="008B766F">
            <w:pPr>
              <w:jc w:val="both"/>
              <w:rPr>
                <w:rFonts w:ascii="Open Sans" w:hAnsi="Open Sans" w:cs="Open Sans"/>
                <w:sz w:val="20"/>
                <w:szCs w:val="20"/>
              </w:rPr>
            </w:pPr>
          </w:p>
          <w:p w14:paraId="2D79E846" w14:textId="38222F94" w:rsidR="00F32DEC" w:rsidRPr="009A57CE" w:rsidRDefault="00F32DEC" w:rsidP="008B766F">
            <w:pPr>
              <w:jc w:val="both"/>
              <w:rPr>
                <w:rFonts w:ascii="Open Sans" w:hAnsi="Open Sans" w:cs="Open Sans"/>
                <w:sz w:val="20"/>
                <w:szCs w:val="20"/>
              </w:rPr>
            </w:pPr>
            <w:r>
              <w:rPr>
                <w:rFonts w:ascii="Open Sans" w:hAnsi="Open Sans" w:cs="Open Sans"/>
                <w:sz w:val="20"/>
                <w:szCs w:val="20"/>
              </w:rPr>
              <w:t>W tej sytuacji postulujemy pozostawienie współczynni</w:t>
            </w:r>
            <w:r w:rsidR="00A31359">
              <w:rPr>
                <w:rFonts w:ascii="Open Sans" w:hAnsi="Open Sans" w:cs="Open Sans"/>
                <w:sz w:val="20"/>
                <w:szCs w:val="20"/>
              </w:rPr>
              <w:t>ka służącego obliczeniu opłat koncesyjnej na dotychczasowym poziomie (zwłaszcza w obliczu nadal bardzo niestabilnej sytuacji na rynkach energetycznych oraz braku perspektyw dla obniżek cen w przewidywalnym czasie).</w:t>
            </w:r>
          </w:p>
        </w:tc>
        <w:tc>
          <w:tcPr>
            <w:tcW w:w="4252" w:type="dxa"/>
          </w:tcPr>
          <w:p w14:paraId="7C1A0825" w14:textId="77777777" w:rsidR="00D60D4C" w:rsidRPr="00D60D4C" w:rsidRDefault="00D60D4C" w:rsidP="00D60D4C">
            <w:pPr>
              <w:jc w:val="both"/>
              <w:rPr>
                <w:rFonts w:ascii="Open Sans" w:hAnsi="Open Sans" w:cs="Open Sans"/>
                <w:i/>
                <w:iCs/>
                <w:sz w:val="20"/>
                <w:szCs w:val="20"/>
              </w:rPr>
            </w:pPr>
            <w:r w:rsidRPr="00D60D4C">
              <w:rPr>
                <w:rFonts w:ascii="Open Sans" w:hAnsi="Open Sans" w:cs="Open Sans"/>
                <w:i/>
                <w:iCs/>
                <w:sz w:val="20"/>
                <w:szCs w:val="20"/>
              </w:rPr>
              <w:lastRenderedPageBreak/>
              <w:t xml:space="preserve">„34a. 1. Współczynnik opłaty przedkoncesyjnej oraz opłaty koncesyjnej dla: </w:t>
            </w:r>
          </w:p>
          <w:p w14:paraId="0DB77E36" w14:textId="77777777" w:rsidR="00D60D4C" w:rsidRPr="00D60D4C" w:rsidRDefault="00D60D4C" w:rsidP="00D60D4C">
            <w:pPr>
              <w:jc w:val="both"/>
              <w:rPr>
                <w:rFonts w:ascii="Open Sans" w:hAnsi="Open Sans" w:cs="Open Sans"/>
                <w:i/>
                <w:iCs/>
                <w:sz w:val="20"/>
                <w:szCs w:val="20"/>
              </w:rPr>
            </w:pPr>
            <w:r w:rsidRPr="00D60D4C">
              <w:rPr>
                <w:rFonts w:ascii="Open Sans" w:hAnsi="Open Sans" w:cs="Open Sans"/>
                <w:i/>
                <w:iCs/>
                <w:sz w:val="20"/>
                <w:szCs w:val="20"/>
              </w:rPr>
              <w:t xml:space="preserve">1) wytwarzania ciepła, </w:t>
            </w:r>
          </w:p>
          <w:p w14:paraId="5371A061" w14:textId="77777777" w:rsidR="00D60D4C" w:rsidRPr="00D60D4C" w:rsidRDefault="00D60D4C" w:rsidP="00D60D4C">
            <w:pPr>
              <w:jc w:val="both"/>
              <w:rPr>
                <w:rFonts w:ascii="Open Sans" w:hAnsi="Open Sans" w:cs="Open Sans"/>
                <w:i/>
                <w:iCs/>
                <w:sz w:val="20"/>
                <w:szCs w:val="20"/>
              </w:rPr>
            </w:pPr>
            <w:r w:rsidRPr="00D60D4C">
              <w:rPr>
                <w:rFonts w:ascii="Open Sans" w:hAnsi="Open Sans" w:cs="Open Sans"/>
                <w:i/>
                <w:iCs/>
                <w:sz w:val="20"/>
                <w:szCs w:val="20"/>
              </w:rPr>
              <w:t xml:space="preserve">2) przesyłania lub dystrybucji ciepła, </w:t>
            </w:r>
          </w:p>
          <w:p w14:paraId="49227D02" w14:textId="77777777" w:rsidR="00D60D4C" w:rsidRPr="00D60D4C" w:rsidRDefault="00D60D4C" w:rsidP="00D60D4C">
            <w:pPr>
              <w:jc w:val="both"/>
              <w:rPr>
                <w:rFonts w:ascii="Open Sans" w:hAnsi="Open Sans" w:cs="Open Sans"/>
                <w:i/>
                <w:iCs/>
                <w:sz w:val="20"/>
                <w:szCs w:val="20"/>
              </w:rPr>
            </w:pPr>
            <w:r w:rsidRPr="00D60D4C">
              <w:rPr>
                <w:rFonts w:ascii="Open Sans" w:hAnsi="Open Sans" w:cs="Open Sans"/>
                <w:i/>
                <w:iCs/>
                <w:sz w:val="20"/>
                <w:szCs w:val="20"/>
              </w:rPr>
              <w:t xml:space="preserve">3) obrotu ciepłem, </w:t>
            </w:r>
          </w:p>
          <w:p w14:paraId="4B22926A" w14:textId="77777777" w:rsidR="00D60D4C" w:rsidRPr="00D60D4C" w:rsidRDefault="00D60D4C" w:rsidP="00D60D4C">
            <w:pPr>
              <w:jc w:val="both"/>
              <w:rPr>
                <w:rFonts w:ascii="Open Sans" w:hAnsi="Open Sans" w:cs="Open Sans"/>
                <w:i/>
                <w:iCs/>
                <w:sz w:val="20"/>
                <w:szCs w:val="20"/>
              </w:rPr>
            </w:pPr>
            <w:r w:rsidRPr="00D60D4C">
              <w:rPr>
                <w:rFonts w:ascii="Open Sans" w:hAnsi="Open Sans" w:cs="Open Sans"/>
                <w:i/>
                <w:iCs/>
                <w:sz w:val="20"/>
                <w:szCs w:val="20"/>
              </w:rPr>
              <w:t xml:space="preserve">4) wytwarzania energii elektrycznej, </w:t>
            </w:r>
          </w:p>
          <w:p w14:paraId="0857BA70" w14:textId="77777777" w:rsidR="00D60D4C" w:rsidRPr="00D60D4C" w:rsidRDefault="00D60D4C" w:rsidP="00D60D4C">
            <w:pPr>
              <w:jc w:val="both"/>
              <w:rPr>
                <w:rFonts w:ascii="Open Sans" w:hAnsi="Open Sans" w:cs="Open Sans"/>
                <w:i/>
                <w:iCs/>
                <w:sz w:val="20"/>
                <w:szCs w:val="20"/>
              </w:rPr>
            </w:pPr>
            <w:r w:rsidRPr="00D60D4C">
              <w:rPr>
                <w:rFonts w:ascii="Open Sans" w:hAnsi="Open Sans" w:cs="Open Sans"/>
                <w:i/>
                <w:iCs/>
                <w:sz w:val="20"/>
                <w:szCs w:val="20"/>
              </w:rPr>
              <w:t xml:space="preserve">5) magazynowania energii elektrycznej, </w:t>
            </w:r>
          </w:p>
          <w:p w14:paraId="28980A92" w14:textId="77777777" w:rsidR="00D60D4C" w:rsidRPr="00D60D4C" w:rsidRDefault="00D60D4C" w:rsidP="00D60D4C">
            <w:pPr>
              <w:jc w:val="both"/>
              <w:rPr>
                <w:rFonts w:ascii="Open Sans" w:hAnsi="Open Sans" w:cs="Open Sans"/>
                <w:i/>
                <w:iCs/>
                <w:sz w:val="20"/>
                <w:szCs w:val="20"/>
              </w:rPr>
            </w:pPr>
            <w:r w:rsidRPr="00D60D4C">
              <w:rPr>
                <w:rFonts w:ascii="Open Sans" w:hAnsi="Open Sans" w:cs="Open Sans"/>
                <w:i/>
                <w:iCs/>
                <w:sz w:val="20"/>
                <w:szCs w:val="20"/>
              </w:rPr>
              <w:t xml:space="preserve">6) przesyłania energii elektrycznej, </w:t>
            </w:r>
          </w:p>
          <w:p w14:paraId="6BDA3923" w14:textId="77777777" w:rsidR="00D60D4C" w:rsidRPr="00D60D4C" w:rsidRDefault="00D60D4C" w:rsidP="00D60D4C">
            <w:pPr>
              <w:jc w:val="both"/>
              <w:rPr>
                <w:rFonts w:ascii="Open Sans" w:hAnsi="Open Sans" w:cs="Open Sans"/>
                <w:i/>
                <w:iCs/>
                <w:sz w:val="20"/>
                <w:szCs w:val="20"/>
              </w:rPr>
            </w:pPr>
            <w:r w:rsidRPr="00D60D4C">
              <w:rPr>
                <w:rFonts w:ascii="Open Sans" w:hAnsi="Open Sans" w:cs="Open Sans"/>
                <w:i/>
                <w:iCs/>
                <w:sz w:val="20"/>
                <w:szCs w:val="20"/>
              </w:rPr>
              <w:t xml:space="preserve">7) dystrybucji energii elektrycznej, </w:t>
            </w:r>
          </w:p>
          <w:p w14:paraId="2DCED31A" w14:textId="77777777" w:rsidR="00D60D4C" w:rsidRPr="00D60D4C" w:rsidRDefault="00D60D4C" w:rsidP="00D60D4C">
            <w:pPr>
              <w:jc w:val="both"/>
              <w:rPr>
                <w:rFonts w:ascii="Open Sans" w:hAnsi="Open Sans" w:cs="Open Sans"/>
                <w:i/>
                <w:iCs/>
                <w:sz w:val="20"/>
                <w:szCs w:val="20"/>
              </w:rPr>
            </w:pPr>
            <w:r w:rsidRPr="00D60D4C">
              <w:rPr>
                <w:rFonts w:ascii="Open Sans" w:hAnsi="Open Sans" w:cs="Open Sans"/>
                <w:i/>
                <w:iCs/>
                <w:sz w:val="20"/>
                <w:szCs w:val="20"/>
              </w:rPr>
              <w:t xml:space="preserve">8) obrotu energią elektryczną, </w:t>
            </w:r>
          </w:p>
          <w:p w14:paraId="728548C3" w14:textId="77777777" w:rsidR="00D60D4C" w:rsidRPr="00D60D4C" w:rsidRDefault="00D60D4C" w:rsidP="00D60D4C">
            <w:pPr>
              <w:jc w:val="both"/>
              <w:rPr>
                <w:rFonts w:ascii="Open Sans" w:hAnsi="Open Sans" w:cs="Open Sans"/>
                <w:i/>
                <w:iCs/>
                <w:sz w:val="20"/>
                <w:szCs w:val="20"/>
              </w:rPr>
            </w:pPr>
            <w:r w:rsidRPr="00D60D4C">
              <w:rPr>
                <w:rFonts w:ascii="Open Sans" w:hAnsi="Open Sans" w:cs="Open Sans"/>
                <w:i/>
                <w:iCs/>
                <w:sz w:val="20"/>
                <w:szCs w:val="20"/>
              </w:rPr>
              <w:t xml:space="preserve">9) magazynowania paliw gazowych, </w:t>
            </w:r>
          </w:p>
          <w:p w14:paraId="7E454324" w14:textId="77777777" w:rsidR="00D60D4C" w:rsidRPr="00D60D4C" w:rsidRDefault="00D60D4C" w:rsidP="00D60D4C">
            <w:pPr>
              <w:jc w:val="both"/>
              <w:rPr>
                <w:rFonts w:ascii="Open Sans" w:hAnsi="Open Sans" w:cs="Open Sans"/>
                <w:i/>
                <w:iCs/>
                <w:sz w:val="20"/>
                <w:szCs w:val="20"/>
              </w:rPr>
            </w:pPr>
            <w:r w:rsidRPr="00D60D4C">
              <w:rPr>
                <w:rFonts w:ascii="Open Sans" w:hAnsi="Open Sans" w:cs="Open Sans"/>
                <w:i/>
                <w:iCs/>
                <w:sz w:val="20"/>
                <w:szCs w:val="20"/>
              </w:rPr>
              <w:t xml:space="preserve">10) przesyłania paliw gazowych, </w:t>
            </w:r>
          </w:p>
          <w:p w14:paraId="422DC845" w14:textId="77777777" w:rsidR="00D60D4C" w:rsidRPr="00D60D4C" w:rsidRDefault="00D60D4C" w:rsidP="00D60D4C">
            <w:pPr>
              <w:jc w:val="both"/>
              <w:rPr>
                <w:rFonts w:ascii="Open Sans" w:hAnsi="Open Sans" w:cs="Open Sans"/>
                <w:i/>
                <w:iCs/>
                <w:sz w:val="20"/>
                <w:szCs w:val="20"/>
              </w:rPr>
            </w:pPr>
            <w:r w:rsidRPr="00D60D4C">
              <w:rPr>
                <w:rFonts w:ascii="Open Sans" w:hAnsi="Open Sans" w:cs="Open Sans"/>
                <w:i/>
                <w:iCs/>
                <w:sz w:val="20"/>
                <w:szCs w:val="20"/>
              </w:rPr>
              <w:t xml:space="preserve">11) dystrybucji paliw gazowych, </w:t>
            </w:r>
          </w:p>
          <w:p w14:paraId="7168D335" w14:textId="77777777" w:rsidR="00D60D4C" w:rsidRPr="00D60D4C" w:rsidRDefault="00D60D4C" w:rsidP="00D60D4C">
            <w:pPr>
              <w:jc w:val="both"/>
              <w:rPr>
                <w:rFonts w:ascii="Open Sans" w:hAnsi="Open Sans" w:cs="Open Sans"/>
                <w:i/>
                <w:iCs/>
                <w:sz w:val="20"/>
                <w:szCs w:val="20"/>
              </w:rPr>
            </w:pPr>
            <w:r w:rsidRPr="00D60D4C">
              <w:rPr>
                <w:rFonts w:ascii="Open Sans" w:hAnsi="Open Sans" w:cs="Open Sans"/>
                <w:i/>
                <w:iCs/>
                <w:sz w:val="20"/>
                <w:szCs w:val="20"/>
              </w:rPr>
              <w:t xml:space="preserve">12) obrotu paliwami gazowymi, </w:t>
            </w:r>
          </w:p>
          <w:p w14:paraId="5D7B97C8" w14:textId="77777777" w:rsidR="00D60D4C" w:rsidRPr="00D60D4C" w:rsidRDefault="00D60D4C" w:rsidP="00D60D4C">
            <w:pPr>
              <w:jc w:val="both"/>
              <w:rPr>
                <w:rFonts w:ascii="Open Sans" w:hAnsi="Open Sans" w:cs="Open Sans"/>
                <w:i/>
                <w:iCs/>
                <w:sz w:val="20"/>
                <w:szCs w:val="20"/>
              </w:rPr>
            </w:pPr>
            <w:r w:rsidRPr="00D60D4C">
              <w:rPr>
                <w:rFonts w:ascii="Open Sans" w:hAnsi="Open Sans" w:cs="Open Sans"/>
                <w:i/>
                <w:iCs/>
                <w:sz w:val="20"/>
                <w:szCs w:val="20"/>
              </w:rPr>
              <w:lastRenderedPageBreak/>
              <w:t xml:space="preserve">13) obrotu gazem ziemnym z zagranicą, </w:t>
            </w:r>
          </w:p>
          <w:p w14:paraId="697AB37D" w14:textId="77777777" w:rsidR="00D60D4C" w:rsidRPr="00D60D4C" w:rsidRDefault="00D60D4C" w:rsidP="00D60D4C">
            <w:pPr>
              <w:jc w:val="both"/>
              <w:rPr>
                <w:rFonts w:ascii="Open Sans" w:hAnsi="Open Sans" w:cs="Open Sans"/>
                <w:i/>
                <w:iCs/>
                <w:sz w:val="20"/>
                <w:szCs w:val="20"/>
              </w:rPr>
            </w:pPr>
            <w:r w:rsidRPr="00D60D4C">
              <w:rPr>
                <w:rFonts w:ascii="Open Sans" w:hAnsi="Open Sans" w:cs="Open Sans"/>
                <w:i/>
                <w:iCs/>
                <w:sz w:val="20"/>
                <w:szCs w:val="20"/>
              </w:rPr>
              <w:t xml:space="preserve">14) skraplania i regazyfikacji gazu ziemnego </w:t>
            </w:r>
          </w:p>
          <w:p w14:paraId="38D07FBA" w14:textId="7411FBAD" w:rsidR="0090574C" w:rsidRPr="00D60D4C" w:rsidRDefault="00D60D4C" w:rsidP="00D60D4C">
            <w:pPr>
              <w:jc w:val="both"/>
              <w:rPr>
                <w:rFonts w:ascii="Open Sans" w:hAnsi="Open Sans" w:cs="Open Sans"/>
                <w:i/>
                <w:iCs/>
                <w:sz w:val="20"/>
                <w:szCs w:val="20"/>
              </w:rPr>
            </w:pPr>
            <w:r w:rsidRPr="00D60D4C">
              <w:rPr>
                <w:rFonts w:ascii="Open Sans" w:hAnsi="Open Sans" w:cs="Open Sans"/>
                <w:i/>
                <w:iCs/>
                <w:sz w:val="20"/>
                <w:szCs w:val="20"/>
              </w:rPr>
              <w:t xml:space="preserve">– </w:t>
            </w:r>
            <w:r w:rsidRPr="00D60D4C">
              <w:rPr>
                <w:rFonts w:ascii="Open Sans" w:hAnsi="Open Sans" w:cs="Open Sans"/>
                <w:i/>
                <w:iCs/>
                <w:color w:val="EE0000"/>
                <w:sz w:val="20"/>
                <w:szCs w:val="20"/>
              </w:rPr>
              <w:t>wynosi 0,0005.</w:t>
            </w:r>
          </w:p>
        </w:tc>
        <w:tc>
          <w:tcPr>
            <w:tcW w:w="1428" w:type="dxa"/>
          </w:tcPr>
          <w:p w14:paraId="31C0C230" w14:textId="77777777" w:rsidR="0090574C" w:rsidRPr="009A57CE" w:rsidRDefault="0090574C" w:rsidP="008B766F">
            <w:pPr>
              <w:jc w:val="both"/>
              <w:rPr>
                <w:rFonts w:ascii="Open Sans" w:hAnsi="Open Sans" w:cs="Open Sans"/>
                <w:sz w:val="20"/>
                <w:szCs w:val="20"/>
              </w:rPr>
            </w:pPr>
          </w:p>
        </w:tc>
      </w:tr>
      <w:tr w:rsidR="0090574C" w:rsidRPr="009A57CE" w14:paraId="574FF95B" w14:textId="77777777" w:rsidTr="009B5AD6">
        <w:tc>
          <w:tcPr>
            <w:tcW w:w="562" w:type="dxa"/>
          </w:tcPr>
          <w:p w14:paraId="590D690B" w14:textId="321DEEE7" w:rsidR="0090574C" w:rsidRPr="009A57CE" w:rsidRDefault="0090574C" w:rsidP="008B766F">
            <w:pPr>
              <w:jc w:val="center"/>
              <w:rPr>
                <w:rFonts w:ascii="Open Sans" w:hAnsi="Open Sans" w:cs="Open Sans"/>
                <w:sz w:val="20"/>
                <w:szCs w:val="20"/>
              </w:rPr>
            </w:pPr>
            <w:r w:rsidRPr="009A57CE">
              <w:rPr>
                <w:rFonts w:ascii="Open Sans" w:hAnsi="Open Sans" w:cs="Open Sans"/>
                <w:sz w:val="20"/>
                <w:szCs w:val="20"/>
              </w:rPr>
              <w:t>3</w:t>
            </w:r>
          </w:p>
        </w:tc>
        <w:tc>
          <w:tcPr>
            <w:tcW w:w="1701" w:type="dxa"/>
          </w:tcPr>
          <w:p w14:paraId="7283C367" w14:textId="77777777" w:rsidR="0090574C" w:rsidRPr="009A57CE" w:rsidRDefault="0090574C" w:rsidP="008B766F">
            <w:pPr>
              <w:jc w:val="both"/>
              <w:rPr>
                <w:rFonts w:ascii="Open Sans" w:hAnsi="Open Sans" w:cs="Open Sans"/>
                <w:sz w:val="20"/>
                <w:szCs w:val="20"/>
              </w:rPr>
            </w:pPr>
          </w:p>
        </w:tc>
        <w:tc>
          <w:tcPr>
            <w:tcW w:w="2694" w:type="dxa"/>
          </w:tcPr>
          <w:p w14:paraId="43EC42A6" w14:textId="77777777" w:rsidR="0090574C" w:rsidRPr="009A57CE" w:rsidRDefault="0090574C" w:rsidP="008B766F">
            <w:pPr>
              <w:jc w:val="both"/>
              <w:rPr>
                <w:rFonts w:ascii="Open Sans" w:hAnsi="Open Sans" w:cs="Open Sans"/>
                <w:sz w:val="20"/>
                <w:szCs w:val="20"/>
              </w:rPr>
            </w:pPr>
          </w:p>
        </w:tc>
        <w:tc>
          <w:tcPr>
            <w:tcW w:w="5103" w:type="dxa"/>
          </w:tcPr>
          <w:p w14:paraId="59C5BA70" w14:textId="77777777" w:rsidR="0090574C" w:rsidRPr="009A57CE" w:rsidRDefault="0090574C" w:rsidP="008B766F">
            <w:pPr>
              <w:jc w:val="both"/>
              <w:rPr>
                <w:rFonts w:ascii="Open Sans" w:hAnsi="Open Sans" w:cs="Open Sans"/>
                <w:sz w:val="20"/>
                <w:szCs w:val="20"/>
              </w:rPr>
            </w:pPr>
          </w:p>
        </w:tc>
        <w:tc>
          <w:tcPr>
            <w:tcW w:w="4252" w:type="dxa"/>
          </w:tcPr>
          <w:p w14:paraId="118E3641" w14:textId="77777777" w:rsidR="0090574C" w:rsidRPr="009A57CE" w:rsidRDefault="0090574C" w:rsidP="008B766F">
            <w:pPr>
              <w:jc w:val="both"/>
              <w:rPr>
                <w:rFonts w:ascii="Open Sans" w:hAnsi="Open Sans" w:cs="Open Sans"/>
                <w:sz w:val="20"/>
                <w:szCs w:val="20"/>
              </w:rPr>
            </w:pPr>
          </w:p>
        </w:tc>
        <w:tc>
          <w:tcPr>
            <w:tcW w:w="1428" w:type="dxa"/>
          </w:tcPr>
          <w:p w14:paraId="17C40DBE" w14:textId="77777777" w:rsidR="0090574C" w:rsidRPr="009A57CE" w:rsidRDefault="0090574C" w:rsidP="008B766F">
            <w:pPr>
              <w:jc w:val="both"/>
              <w:rPr>
                <w:rFonts w:ascii="Open Sans" w:hAnsi="Open Sans" w:cs="Open Sans"/>
                <w:sz w:val="20"/>
                <w:szCs w:val="20"/>
              </w:rPr>
            </w:pPr>
          </w:p>
        </w:tc>
      </w:tr>
      <w:tr w:rsidR="00B91BB7" w:rsidRPr="009A57CE" w14:paraId="597EDC07" w14:textId="77777777" w:rsidTr="009B5AD6">
        <w:tc>
          <w:tcPr>
            <w:tcW w:w="562" w:type="dxa"/>
          </w:tcPr>
          <w:p w14:paraId="513652BE" w14:textId="5481CAA8" w:rsidR="00B91BB7" w:rsidRPr="009A57CE" w:rsidRDefault="00B91BB7" w:rsidP="008B766F">
            <w:pPr>
              <w:jc w:val="center"/>
              <w:rPr>
                <w:rFonts w:ascii="Open Sans" w:hAnsi="Open Sans" w:cs="Open Sans"/>
                <w:sz w:val="20"/>
                <w:szCs w:val="20"/>
              </w:rPr>
            </w:pPr>
            <w:r w:rsidRPr="009A57CE">
              <w:rPr>
                <w:rFonts w:ascii="Open Sans" w:hAnsi="Open Sans" w:cs="Open Sans"/>
                <w:sz w:val="20"/>
                <w:szCs w:val="20"/>
              </w:rPr>
              <w:t>4</w:t>
            </w:r>
          </w:p>
        </w:tc>
        <w:tc>
          <w:tcPr>
            <w:tcW w:w="1701" w:type="dxa"/>
          </w:tcPr>
          <w:p w14:paraId="2C112C99" w14:textId="77777777" w:rsidR="00B91BB7" w:rsidRPr="009A57CE" w:rsidRDefault="00B91BB7" w:rsidP="008B766F">
            <w:pPr>
              <w:jc w:val="both"/>
              <w:rPr>
                <w:rFonts w:ascii="Open Sans" w:hAnsi="Open Sans" w:cs="Open Sans"/>
                <w:sz w:val="20"/>
                <w:szCs w:val="20"/>
              </w:rPr>
            </w:pPr>
          </w:p>
        </w:tc>
        <w:tc>
          <w:tcPr>
            <w:tcW w:w="2694" w:type="dxa"/>
          </w:tcPr>
          <w:p w14:paraId="29E8C0CD" w14:textId="77777777" w:rsidR="00B91BB7" w:rsidRPr="009A57CE" w:rsidRDefault="00B91BB7" w:rsidP="008B766F">
            <w:pPr>
              <w:jc w:val="both"/>
              <w:rPr>
                <w:rFonts w:ascii="Open Sans" w:hAnsi="Open Sans" w:cs="Open Sans"/>
                <w:sz w:val="20"/>
                <w:szCs w:val="20"/>
              </w:rPr>
            </w:pPr>
          </w:p>
        </w:tc>
        <w:tc>
          <w:tcPr>
            <w:tcW w:w="5103" w:type="dxa"/>
          </w:tcPr>
          <w:p w14:paraId="61393C6E" w14:textId="77777777" w:rsidR="00B91BB7" w:rsidRPr="009A57CE" w:rsidRDefault="00B91BB7" w:rsidP="008B766F">
            <w:pPr>
              <w:jc w:val="both"/>
              <w:rPr>
                <w:rFonts w:ascii="Open Sans" w:hAnsi="Open Sans" w:cs="Open Sans"/>
                <w:sz w:val="20"/>
                <w:szCs w:val="20"/>
              </w:rPr>
            </w:pPr>
          </w:p>
        </w:tc>
        <w:tc>
          <w:tcPr>
            <w:tcW w:w="4252" w:type="dxa"/>
          </w:tcPr>
          <w:p w14:paraId="6BD03E7F" w14:textId="77777777" w:rsidR="00B91BB7" w:rsidRPr="009A57CE" w:rsidRDefault="00B91BB7" w:rsidP="008B766F">
            <w:pPr>
              <w:jc w:val="both"/>
              <w:rPr>
                <w:rFonts w:ascii="Open Sans" w:hAnsi="Open Sans" w:cs="Open Sans"/>
                <w:sz w:val="20"/>
                <w:szCs w:val="20"/>
              </w:rPr>
            </w:pPr>
          </w:p>
        </w:tc>
        <w:tc>
          <w:tcPr>
            <w:tcW w:w="1428" w:type="dxa"/>
          </w:tcPr>
          <w:p w14:paraId="2EFA759D" w14:textId="77777777" w:rsidR="00B91BB7" w:rsidRPr="009A57CE" w:rsidRDefault="00B91BB7" w:rsidP="008B766F">
            <w:pPr>
              <w:jc w:val="both"/>
              <w:rPr>
                <w:rFonts w:ascii="Open Sans" w:hAnsi="Open Sans" w:cs="Open Sans"/>
                <w:sz w:val="20"/>
                <w:szCs w:val="20"/>
              </w:rPr>
            </w:pPr>
          </w:p>
        </w:tc>
      </w:tr>
      <w:tr w:rsidR="00B91BB7" w:rsidRPr="009A57CE" w14:paraId="50E6FC26" w14:textId="77777777" w:rsidTr="009B5AD6">
        <w:tc>
          <w:tcPr>
            <w:tcW w:w="562" w:type="dxa"/>
          </w:tcPr>
          <w:p w14:paraId="72CBEA22" w14:textId="12486115" w:rsidR="00B91BB7" w:rsidRPr="009A57CE" w:rsidRDefault="00B91BB7" w:rsidP="008B766F">
            <w:pPr>
              <w:jc w:val="center"/>
              <w:rPr>
                <w:rFonts w:ascii="Open Sans" w:hAnsi="Open Sans" w:cs="Open Sans"/>
                <w:sz w:val="20"/>
                <w:szCs w:val="20"/>
              </w:rPr>
            </w:pPr>
            <w:r w:rsidRPr="009A57CE">
              <w:rPr>
                <w:rFonts w:ascii="Open Sans" w:hAnsi="Open Sans" w:cs="Open Sans"/>
                <w:sz w:val="20"/>
                <w:szCs w:val="20"/>
              </w:rPr>
              <w:t>5</w:t>
            </w:r>
          </w:p>
        </w:tc>
        <w:tc>
          <w:tcPr>
            <w:tcW w:w="1701" w:type="dxa"/>
          </w:tcPr>
          <w:p w14:paraId="13E20248" w14:textId="77777777" w:rsidR="00B91BB7" w:rsidRPr="009A57CE" w:rsidRDefault="00B91BB7" w:rsidP="008B766F">
            <w:pPr>
              <w:jc w:val="both"/>
              <w:rPr>
                <w:rFonts w:ascii="Open Sans" w:hAnsi="Open Sans" w:cs="Open Sans"/>
                <w:sz w:val="20"/>
                <w:szCs w:val="20"/>
              </w:rPr>
            </w:pPr>
          </w:p>
        </w:tc>
        <w:tc>
          <w:tcPr>
            <w:tcW w:w="2694" w:type="dxa"/>
          </w:tcPr>
          <w:p w14:paraId="607E353C" w14:textId="77777777" w:rsidR="00B91BB7" w:rsidRPr="009A57CE" w:rsidRDefault="00B91BB7" w:rsidP="008B766F">
            <w:pPr>
              <w:jc w:val="both"/>
              <w:rPr>
                <w:rFonts w:ascii="Open Sans" w:hAnsi="Open Sans" w:cs="Open Sans"/>
                <w:sz w:val="20"/>
                <w:szCs w:val="20"/>
              </w:rPr>
            </w:pPr>
          </w:p>
        </w:tc>
        <w:tc>
          <w:tcPr>
            <w:tcW w:w="5103" w:type="dxa"/>
          </w:tcPr>
          <w:p w14:paraId="64CD17A9" w14:textId="77777777" w:rsidR="00B91BB7" w:rsidRPr="009A57CE" w:rsidRDefault="00B91BB7" w:rsidP="008B766F">
            <w:pPr>
              <w:jc w:val="both"/>
              <w:rPr>
                <w:rFonts w:ascii="Open Sans" w:hAnsi="Open Sans" w:cs="Open Sans"/>
                <w:sz w:val="20"/>
                <w:szCs w:val="20"/>
              </w:rPr>
            </w:pPr>
          </w:p>
        </w:tc>
        <w:tc>
          <w:tcPr>
            <w:tcW w:w="4252" w:type="dxa"/>
          </w:tcPr>
          <w:p w14:paraId="2B119892" w14:textId="77777777" w:rsidR="00B91BB7" w:rsidRPr="009A57CE" w:rsidRDefault="00B91BB7" w:rsidP="008B766F">
            <w:pPr>
              <w:jc w:val="both"/>
              <w:rPr>
                <w:rFonts w:ascii="Open Sans" w:hAnsi="Open Sans" w:cs="Open Sans"/>
                <w:sz w:val="20"/>
                <w:szCs w:val="20"/>
              </w:rPr>
            </w:pPr>
          </w:p>
        </w:tc>
        <w:tc>
          <w:tcPr>
            <w:tcW w:w="1428" w:type="dxa"/>
          </w:tcPr>
          <w:p w14:paraId="5D16DB46" w14:textId="77777777" w:rsidR="00B91BB7" w:rsidRPr="009A57CE" w:rsidRDefault="00B91BB7" w:rsidP="008B766F">
            <w:pPr>
              <w:jc w:val="both"/>
              <w:rPr>
                <w:rFonts w:ascii="Open Sans" w:hAnsi="Open Sans" w:cs="Open Sans"/>
                <w:sz w:val="20"/>
                <w:szCs w:val="20"/>
              </w:rPr>
            </w:pPr>
          </w:p>
        </w:tc>
      </w:tr>
      <w:tr w:rsidR="00B91BB7" w:rsidRPr="009A57CE" w14:paraId="0B5199B1" w14:textId="77777777" w:rsidTr="009B5AD6">
        <w:tc>
          <w:tcPr>
            <w:tcW w:w="562" w:type="dxa"/>
          </w:tcPr>
          <w:p w14:paraId="486410FA" w14:textId="7DC11221" w:rsidR="00B91BB7" w:rsidRPr="009A57CE" w:rsidRDefault="00B91BB7" w:rsidP="008B766F">
            <w:pPr>
              <w:jc w:val="center"/>
              <w:rPr>
                <w:rFonts w:ascii="Open Sans" w:hAnsi="Open Sans" w:cs="Open Sans"/>
                <w:sz w:val="20"/>
                <w:szCs w:val="20"/>
              </w:rPr>
            </w:pPr>
            <w:r w:rsidRPr="009A57CE">
              <w:rPr>
                <w:rFonts w:ascii="Open Sans" w:hAnsi="Open Sans" w:cs="Open Sans"/>
                <w:sz w:val="20"/>
                <w:szCs w:val="20"/>
              </w:rPr>
              <w:t>6</w:t>
            </w:r>
          </w:p>
        </w:tc>
        <w:tc>
          <w:tcPr>
            <w:tcW w:w="1701" w:type="dxa"/>
          </w:tcPr>
          <w:p w14:paraId="41EC1220" w14:textId="77777777" w:rsidR="00B91BB7" w:rsidRPr="009A57CE" w:rsidRDefault="00B91BB7" w:rsidP="008B766F">
            <w:pPr>
              <w:jc w:val="both"/>
              <w:rPr>
                <w:rFonts w:ascii="Open Sans" w:hAnsi="Open Sans" w:cs="Open Sans"/>
                <w:sz w:val="20"/>
                <w:szCs w:val="20"/>
              </w:rPr>
            </w:pPr>
          </w:p>
        </w:tc>
        <w:tc>
          <w:tcPr>
            <w:tcW w:w="2694" w:type="dxa"/>
          </w:tcPr>
          <w:p w14:paraId="18801E29" w14:textId="77777777" w:rsidR="00B91BB7" w:rsidRPr="009A57CE" w:rsidRDefault="00B91BB7" w:rsidP="008B766F">
            <w:pPr>
              <w:jc w:val="both"/>
              <w:rPr>
                <w:rFonts w:ascii="Open Sans" w:hAnsi="Open Sans" w:cs="Open Sans"/>
                <w:sz w:val="20"/>
                <w:szCs w:val="20"/>
              </w:rPr>
            </w:pPr>
          </w:p>
        </w:tc>
        <w:tc>
          <w:tcPr>
            <w:tcW w:w="5103" w:type="dxa"/>
          </w:tcPr>
          <w:p w14:paraId="0611B7C8" w14:textId="77777777" w:rsidR="00B91BB7" w:rsidRPr="009A57CE" w:rsidRDefault="00B91BB7" w:rsidP="008B766F">
            <w:pPr>
              <w:jc w:val="both"/>
              <w:rPr>
                <w:rFonts w:ascii="Open Sans" w:hAnsi="Open Sans" w:cs="Open Sans"/>
                <w:sz w:val="20"/>
                <w:szCs w:val="20"/>
              </w:rPr>
            </w:pPr>
          </w:p>
        </w:tc>
        <w:tc>
          <w:tcPr>
            <w:tcW w:w="4252" w:type="dxa"/>
          </w:tcPr>
          <w:p w14:paraId="70C41F90" w14:textId="77777777" w:rsidR="00B91BB7" w:rsidRPr="009A57CE" w:rsidRDefault="00B91BB7" w:rsidP="008B766F">
            <w:pPr>
              <w:jc w:val="both"/>
              <w:rPr>
                <w:rFonts w:ascii="Open Sans" w:hAnsi="Open Sans" w:cs="Open Sans"/>
                <w:sz w:val="20"/>
                <w:szCs w:val="20"/>
              </w:rPr>
            </w:pPr>
          </w:p>
        </w:tc>
        <w:tc>
          <w:tcPr>
            <w:tcW w:w="1428" w:type="dxa"/>
          </w:tcPr>
          <w:p w14:paraId="2EFBC216" w14:textId="77777777" w:rsidR="00B91BB7" w:rsidRPr="009A57CE" w:rsidRDefault="00B91BB7" w:rsidP="008B766F">
            <w:pPr>
              <w:jc w:val="both"/>
              <w:rPr>
                <w:rFonts w:ascii="Open Sans" w:hAnsi="Open Sans" w:cs="Open Sans"/>
                <w:sz w:val="20"/>
                <w:szCs w:val="20"/>
              </w:rPr>
            </w:pPr>
          </w:p>
        </w:tc>
      </w:tr>
      <w:bookmarkEnd w:id="0"/>
    </w:tbl>
    <w:p w14:paraId="4A485AB3" w14:textId="77777777" w:rsidR="00CA2841" w:rsidRPr="009A57CE" w:rsidRDefault="00CA2841" w:rsidP="008B766F">
      <w:pPr>
        <w:spacing w:after="0" w:line="240" w:lineRule="auto"/>
        <w:rPr>
          <w:rFonts w:ascii="Open Sans" w:hAnsi="Open Sans" w:cs="Open Sans"/>
          <w:sz w:val="20"/>
          <w:szCs w:val="20"/>
        </w:rPr>
      </w:pPr>
    </w:p>
    <w:sectPr w:rsidR="00CA2841" w:rsidRPr="009A57CE" w:rsidSect="00B91BB7">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4F0A0" w14:textId="77777777" w:rsidR="00417398" w:rsidRDefault="00417398" w:rsidP="00CA2841">
      <w:pPr>
        <w:spacing w:after="0" w:line="240" w:lineRule="auto"/>
      </w:pPr>
      <w:r>
        <w:separator/>
      </w:r>
    </w:p>
  </w:endnote>
  <w:endnote w:type="continuationSeparator" w:id="0">
    <w:p w14:paraId="4694254E" w14:textId="77777777" w:rsidR="00417398" w:rsidRDefault="00417398" w:rsidP="00CA28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0D46C" w14:textId="77777777" w:rsidR="00417398" w:rsidRDefault="00417398" w:rsidP="00CA2841">
      <w:pPr>
        <w:spacing w:after="0" w:line="240" w:lineRule="auto"/>
      </w:pPr>
      <w:r>
        <w:separator/>
      </w:r>
    </w:p>
  </w:footnote>
  <w:footnote w:type="continuationSeparator" w:id="0">
    <w:p w14:paraId="260FA91F" w14:textId="77777777" w:rsidR="00417398" w:rsidRDefault="00417398" w:rsidP="00CA284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841"/>
    <w:rsid w:val="00053B59"/>
    <w:rsid w:val="00106754"/>
    <w:rsid w:val="0019568F"/>
    <w:rsid w:val="001B734F"/>
    <w:rsid w:val="001E4824"/>
    <w:rsid w:val="002B5F94"/>
    <w:rsid w:val="00372FB7"/>
    <w:rsid w:val="0041567D"/>
    <w:rsid w:val="00417398"/>
    <w:rsid w:val="00435D45"/>
    <w:rsid w:val="004D7F1B"/>
    <w:rsid w:val="004F2D1D"/>
    <w:rsid w:val="00602279"/>
    <w:rsid w:val="0065784C"/>
    <w:rsid w:val="006974ED"/>
    <w:rsid w:val="00773DAD"/>
    <w:rsid w:val="007C1A31"/>
    <w:rsid w:val="007F1487"/>
    <w:rsid w:val="008255DE"/>
    <w:rsid w:val="00886D8D"/>
    <w:rsid w:val="00894E5C"/>
    <w:rsid w:val="008A0853"/>
    <w:rsid w:val="008B1756"/>
    <w:rsid w:val="008B766F"/>
    <w:rsid w:val="0090574C"/>
    <w:rsid w:val="00910C80"/>
    <w:rsid w:val="009A57CE"/>
    <w:rsid w:val="009B5AD6"/>
    <w:rsid w:val="009E504D"/>
    <w:rsid w:val="009E6D70"/>
    <w:rsid w:val="00A31359"/>
    <w:rsid w:val="00B829F8"/>
    <w:rsid w:val="00B91BB7"/>
    <w:rsid w:val="00C93278"/>
    <w:rsid w:val="00CA2841"/>
    <w:rsid w:val="00CD3075"/>
    <w:rsid w:val="00CE6CDA"/>
    <w:rsid w:val="00D35962"/>
    <w:rsid w:val="00D60D4C"/>
    <w:rsid w:val="00DA4D99"/>
    <w:rsid w:val="00E40E3D"/>
    <w:rsid w:val="00EB31B4"/>
    <w:rsid w:val="00EC4C43"/>
    <w:rsid w:val="00EE246C"/>
    <w:rsid w:val="00EF494C"/>
    <w:rsid w:val="00EF5376"/>
    <w:rsid w:val="00F32D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43F60"/>
  <w15:chartTrackingRefBased/>
  <w15:docId w15:val="{6BE2EF6E-7A57-45BA-8729-04A92DBED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CA2841"/>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A2841"/>
    <w:rPr>
      <w:sz w:val="20"/>
      <w:szCs w:val="20"/>
    </w:rPr>
  </w:style>
  <w:style w:type="character" w:styleId="Odwoanieprzypisudolnego">
    <w:name w:val="footnote reference"/>
    <w:basedOn w:val="Domylnaczcionkaakapitu"/>
    <w:uiPriority w:val="99"/>
    <w:semiHidden/>
    <w:unhideWhenUsed/>
    <w:rsid w:val="00CA2841"/>
    <w:rPr>
      <w:vertAlign w:val="superscript"/>
    </w:rPr>
  </w:style>
  <w:style w:type="table" w:styleId="Tabela-Siatka">
    <w:name w:val="Table Grid"/>
    <w:basedOn w:val="Standardowy"/>
    <w:uiPriority w:val="39"/>
    <w:rsid w:val="00CA28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4F2D1D"/>
    <w:rPr>
      <w:sz w:val="16"/>
      <w:szCs w:val="16"/>
    </w:rPr>
  </w:style>
  <w:style w:type="paragraph" w:styleId="Tekstkomentarza">
    <w:name w:val="annotation text"/>
    <w:basedOn w:val="Normalny"/>
    <w:link w:val="TekstkomentarzaZnak"/>
    <w:uiPriority w:val="99"/>
    <w:unhideWhenUsed/>
    <w:rsid w:val="004F2D1D"/>
    <w:pPr>
      <w:spacing w:line="240" w:lineRule="auto"/>
    </w:pPr>
    <w:rPr>
      <w:sz w:val="20"/>
      <w:szCs w:val="20"/>
    </w:rPr>
  </w:style>
  <w:style w:type="character" w:customStyle="1" w:styleId="TekstkomentarzaZnak">
    <w:name w:val="Tekst komentarza Znak"/>
    <w:basedOn w:val="Domylnaczcionkaakapitu"/>
    <w:link w:val="Tekstkomentarza"/>
    <w:uiPriority w:val="99"/>
    <w:rsid w:val="004F2D1D"/>
    <w:rPr>
      <w:sz w:val="20"/>
      <w:szCs w:val="20"/>
    </w:rPr>
  </w:style>
  <w:style w:type="paragraph" w:styleId="Tematkomentarza">
    <w:name w:val="annotation subject"/>
    <w:basedOn w:val="Tekstkomentarza"/>
    <w:next w:val="Tekstkomentarza"/>
    <w:link w:val="TematkomentarzaZnak"/>
    <w:uiPriority w:val="99"/>
    <w:semiHidden/>
    <w:unhideWhenUsed/>
    <w:rsid w:val="004F2D1D"/>
    <w:rPr>
      <w:b/>
      <w:bCs/>
    </w:rPr>
  </w:style>
  <w:style w:type="character" w:customStyle="1" w:styleId="TematkomentarzaZnak">
    <w:name w:val="Temat komentarza Znak"/>
    <w:basedOn w:val="TekstkomentarzaZnak"/>
    <w:link w:val="Tematkomentarza"/>
    <w:uiPriority w:val="99"/>
    <w:semiHidden/>
    <w:rsid w:val="004F2D1D"/>
    <w:rPr>
      <w:b/>
      <w:bCs/>
      <w:sz w:val="20"/>
      <w:szCs w:val="20"/>
    </w:rPr>
  </w:style>
  <w:style w:type="paragraph" w:customStyle="1" w:styleId="Default">
    <w:name w:val="Default"/>
    <w:rsid w:val="0060227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468A9B-02CF-49B8-B19D-07AFA93A7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545</Words>
  <Characters>3274</Characters>
  <Application>Microsoft Office Word</Application>
  <DocSecurity>0</DocSecurity>
  <Lines>27</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Wójcikiewicz-Kawa Agata</dc:creator>
  <cp:keywords/>
  <dc:description/>
  <cp:lastModifiedBy>Tomasz Kuydowicz</cp:lastModifiedBy>
  <cp:revision>3</cp:revision>
  <dcterms:created xsi:type="dcterms:W3CDTF">2026-09-28T21:33:00Z</dcterms:created>
  <dcterms:modified xsi:type="dcterms:W3CDTF">2026-09-29T18:58:00Z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da5d7e0-a6ae-47b8-8592-eac7f470fba7_Enabled">
    <vt:lpwstr>true</vt:lpwstr>
  </property>
  <property fmtid="{D5CDD505-2E9C-101B-9397-08002B2CF9AE}" pid="3" name="MSIP_Label_fda5d7e0-a6ae-47b8-8592-eac7f470fba7_SetDate">
    <vt:lpwstr>2026-09-28T19:45:18Z</vt:lpwstr>
  </property>
  <property fmtid="{D5CDD505-2E9C-101B-9397-08002B2CF9AE}" pid="4" name="MSIP_Label_fda5d7e0-a6ae-47b8-8592-eac7f470fba7_Method">
    <vt:lpwstr>Standard</vt:lpwstr>
  </property>
  <property fmtid="{D5CDD505-2E9C-101B-9397-08002B2CF9AE}" pid="5" name="MSIP_Label_fda5d7e0-a6ae-47b8-8592-eac7f470fba7_Name">
    <vt:lpwstr>Wewnętrzny - SL2 -bez AI</vt:lpwstr>
  </property>
  <property fmtid="{D5CDD505-2E9C-101B-9397-08002B2CF9AE}" pid="6" name="MSIP_Label_fda5d7e0-a6ae-47b8-8592-eac7f470fba7_SiteId">
    <vt:lpwstr>f583f0e4-0fe2-4e46-8bc7-ff287059e206</vt:lpwstr>
  </property>
  <property fmtid="{D5CDD505-2E9C-101B-9397-08002B2CF9AE}" pid="7" name="MSIP_Label_fda5d7e0-a6ae-47b8-8592-eac7f470fba7_ActionId">
    <vt:lpwstr>fa882372-17f6-45f1-8d98-0b4d22af3a81</vt:lpwstr>
  </property>
  <property fmtid="{D5CDD505-2E9C-101B-9397-08002B2CF9AE}" pid="8" name="MSIP_Label_fda5d7e0-a6ae-47b8-8592-eac7f470fba7_ContentBits">
    <vt:lpwstr>0</vt:lpwstr>
  </property>
  <property fmtid="{D5CDD505-2E9C-101B-9397-08002B2CF9AE}" pid="9" name="MSIP_Label_fda5d7e0-a6ae-47b8-8592-eac7f470fba7_Tag">
    <vt:lpwstr>10, 3, 0, 1</vt:lpwstr>
  </property>
</Properties>
</file>