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F6667" w14:textId="77777777" w:rsidR="000077C7" w:rsidRPr="00586923" w:rsidRDefault="000077C7" w:rsidP="000077C7">
      <w:pPr>
        <w:rPr>
          <w:rFonts w:ascii="Arial" w:hAnsi="Arial" w:cs="Arial"/>
        </w:rPr>
      </w:pPr>
      <w:r w:rsidRPr="00586923">
        <w:rPr>
          <w:rFonts w:ascii="Arial" w:hAnsi="Arial" w:cs="Arial"/>
          <w:noProof/>
          <w:lang w:eastAsia="pl-PL"/>
        </w:rPr>
        <w:drawing>
          <wp:inline distT="0" distB="0" distL="0" distR="0" wp14:anchorId="31453156" wp14:editId="73ED869A">
            <wp:extent cx="5683910" cy="943559"/>
            <wp:effectExtent l="0" t="0" r="0" b="9525"/>
            <wp:docPr id="2" name="Obraz 2" descr="Obraz zawierający tekst, Czcionka, zrzut ekranu, log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tekst, Czcionka, zrzut ekranu, logo&#10;&#10;Zawartość wygenerowana przez AI może być niepoprawna."/>
                    <pic:cNvPicPr/>
                  </pic:nvPicPr>
                  <pic:blipFill>
                    <a:blip r:embed="rId5">
                      <a:extLst>
                        <a:ext uri="{28A0092B-C50C-407E-A947-70E740481C1C}">
                          <a14:useLocalDpi xmlns:a14="http://schemas.microsoft.com/office/drawing/2010/main" val="0"/>
                        </a:ext>
                      </a:extLst>
                    </a:blip>
                    <a:stretch>
                      <a:fillRect/>
                    </a:stretch>
                  </pic:blipFill>
                  <pic:spPr>
                    <a:xfrm>
                      <a:off x="0" y="0"/>
                      <a:ext cx="5704187" cy="946925"/>
                    </a:xfrm>
                    <a:prstGeom prst="rect">
                      <a:avLst/>
                    </a:prstGeom>
                  </pic:spPr>
                </pic:pic>
              </a:graphicData>
            </a:graphic>
          </wp:inline>
        </w:drawing>
      </w:r>
    </w:p>
    <w:p w14:paraId="31186858" w14:textId="77777777" w:rsidR="000077C7" w:rsidRDefault="000077C7" w:rsidP="000077C7">
      <w:pPr>
        <w:spacing w:after="0" w:line="300" w:lineRule="auto"/>
        <w:jc w:val="center"/>
        <w:rPr>
          <w:rFonts w:ascii="Arial" w:hAnsi="Arial" w:cs="Arial"/>
          <w:b/>
        </w:rPr>
      </w:pPr>
      <w:r w:rsidRPr="00586923">
        <w:rPr>
          <w:rFonts w:ascii="Arial" w:hAnsi="Arial" w:cs="Arial"/>
          <w:b/>
        </w:rPr>
        <w:t xml:space="preserve">Konsultacje </w:t>
      </w:r>
      <w:r>
        <w:rPr>
          <w:rFonts w:ascii="Arial" w:hAnsi="Arial" w:cs="Arial"/>
          <w:b/>
        </w:rPr>
        <w:t>projektów</w:t>
      </w:r>
      <w:r w:rsidRPr="00586923">
        <w:rPr>
          <w:rFonts w:ascii="Arial" w:hAnsi="Arial" w:cs="Arial"/>
          <w:b/>
        </w:rPr>
        <w:t xml:space="preserve"> krajowych aktów prawnych </w:t>
      </w:r>
      <w:r>
        <w:rPr>
          <w:rFonts w:ascii="Arial" w:hAnsi="Arial" w:cs="Arial"/>
          <w:b/>
        </w:rPr>
        <w:t xml:space="preserve">i ogłoszone akty prawne </w:t>
      </w:r>
      <w:r>
        <w:rPr>
          <w:rFonts w:ascii="Arial" w:hAnsi="Arial" w:cs="Arial"/>
          <w:b/>
        </w:rPr>
        <w:br/>
        <w:t>w Dzienniku Ustaw</w:t>
      </w:r>
    </w:p>
    <w:p w14:paraId="1067B33E" w14:textId="77777777" w:rsidR="000077C7" w:rsidRPr="00586923" w:rsidRDefault="000077C7" w:rsidP="000077C7">
      <w:pPr>
        <w:spacing w:after="0" w:line="300" w:lineRule="auto"/>
        <w:jc w:val="center"/>
        <w:rPr>
          <w:rFonts w:ascii="Arial" w:hAnsi="Arial" w:cs="Arial"/>
          <w:b/>
        </w:rPr>
      </w:pPr>
      <w:r>
        <w:rPr>
          <w:rFonts w:ascii="Arial" w:hAnsi="Arial" w:cs="Arial"/>
          <w:b/>
        </w:rPr>
        <w:t>(</w:t>
      </w:r>
      <w:r w:rsidRPr="00586923">
        <w:rPr>
          <w:rFonts w:ascii="Arial" w:hAnsi="Arial" w:cs="Arial"/>
          <w:b/>
        </w:rPr>
        <w:t xml:space="preserve">monitoring legislacji </w:t>
      </w:r>
      <w:r>
        <w:rPr>
          <w:rFonts w:ascii="Arial" w:hAnsi="Arial" w:cs="Arial"/>
          <w:b/>
        </w:rPr>
        <w:t xml:space="preserve">krajowej </w:t>
      </w:r>
      <w:r w:rsidRPr="00586923">
        <w:rPr>
          <w:rFonts w:ascii="Arial" w:hAnsi="Arial" w:cs="Arial"/>
          <w:b/>
        </w:rPr>
        <w:t>ZPPM</w:t>
      </w:r>
      <w:r>
        <w:rPr>
          <w:rFonts w:ascii="Arial" w:hAnsi="Arial" w:cs="Arial"/>
          <w:b/>
        </w:rPr>
        <w:t>)</w:t>
      </w:r>
    </w:p>
    <w:p w14:paraId="7553F8A2" w14:textId="592CEFC1" w:rsidR="000077C7" w:rsidRPr="00586923" w:rsidRDefault="000077C7" w:rsidP="000077C7">
      <w:pPr>
        <w:spacing w:after="0" w:line="300" w:lineRule="auto"/>
        <w:jc w:val="center"/>
        <w:rPr>
          <w:rFonts w:ascii="Arial" w:hAnsi="Arial" w:cs="Arial"/>
        </w:rPr>
      </w:pPr>
      <w:r w:rsidRPr="00586923">
        <w:rPr>
          <w:rFonts w:ascii="Arial" w:hAnsi="Arial" w:cs="Arial"/>
          <w:b/>
        </w:rPr>
        <w:t xml:space="preserve">w okresie od </w:t>
      </w:r>
      <w:r>
        <w:rPr>
          <w:rFonts w:ascii="Arial" w:hAnsi="Arial" w:cs="Arial"/>
          <w:b/>
        </w:rPr>
        <w:t>28 września</w:t>
      </w:r>
      <w:r>
        <w:rPr>
          <w:rFonts w:ascii="Arial" w:hAnsi="Arial" w:cs="Arial"/>
          <w:b/>
        </w:rPr>
        <w:t xml:space="preserve"> </w:t>
      </w:r>
      <w:r w:rsidRPr="00586923">
        <w:rPr>
          <w:rFonts w:ascii="Arial" w:hAnsi="Arial" w:cs="Arial"/>
          <w:b/>
        </w:rPr>
        <w:t xml:space="preserve">do </w:t>
      </w:r>
      <w:r>
        <w:rPr>
          <w:rFonts w:ascii="Arial" w:hAnsi="Arial" w:cs="Arial"/>
          <w:b/>
        </w:rPr>
        <w:t>4 października</w:t>
      </w:r>
      <w:r w:rsidRPr="00586923">
        <w:rPr>
          <w:rFonts w:ascii="Arial" w:hAnsi="Arial" w:cs="Arial"/>
          <w:b/>
        </w:rPr>
        <w:t xml:space="preserve"> 202</w:t>
      </w:r>
      <w:r>
        <w:rPr>
          <w:rFonts w:ascii="Arial" w:hAnsi="Arial" w:cs="Arial"/>
          <w:b/>
        </w:rPr>
        <w:t>6</w:t>
      </w:r>
      <w:r w:rsidRPr="00586923">
        <w:rPr>
          <w:rFonts w:ascii="Arial" w:hAnsi="Arial" w:cs="Arial"/>
          <w:b/>
        </w:rPr>
        <w:t xml:space="preserve"> roku</w:t>
      </w:r>
    </w:p>
    <w:p w14:paraId="31765803" w14:textId="7EBB3D2C" w:rsidR="000077C7" w:rsidRPr="00AC3187" w:rsidRDefault="000077C7" w:rsidP="000077C7">
      <w:pPr>
        <w:spacing w:after="0" w:line="300" w:lineRule="auto"/>
        <w:jc w:val="center"/>
        <w:rPr>
          <w:rFonts w:ascii="Arial" w:hAnsi="Arial" w:cs="Arial"/>
        </w:rPr>
      </w:pPr>
      <w:r w:rsidRPr="00AC3187">
        <w:rPr>
          <w:rFonts w:ascii="Arial" w:hAnsi="Arial" w:cs="Arial"/>
        </w:rPr>
        <w:t xml:space="preserve">Raport na dzień </w:t>
      </w:r>
      <w:r>
        <w:rPr>
          <w:rFonts w:ascii="Arial" w:hAnsi="Arial" w:cs="Arial"/>
        </w:rPr>
        <w:t>8 września</w:t>
      </w:r>
      <w:r w:rsidRPr="00AC3187">
        <w:rPr>
          <w:rFonts w:ascii="Arial" w:hAnsi="Arial" w:cs="Arial"/>
        </w:rPr>
        <w:t xml:space="preserve"> 202</w:t>
      </w:r>
      <w:r>
        <w:rPr>
          <w:rFonts w:ascii="Arial" w:hAnsi="Arial" w:cs="Arial"/>
        </w:rPr>
        <w:t>6</w:t>
      </w:r>
      <w:r w:rsidRPr="00AC3187">
        <w:rPr>
          <w:rFonts w:ascii="Arial" w:hAnsi="Arial" w:cs="Arial"/>
        </w:rPr>
        <w:t xml:space="preserve"> roku</w:t>
      </w:r>
    </w:p>
    <w:p w14:paraId="241B39FE" w14:textId="77777777" w:rsidR="000077C7" w:rsidRPr="00586923" w:rsidRDefault="000077C7" w:rsidP="000077C7">
      <w:pPr>
        <w:spacing w:after="0" w:line="300" w:lineRule="auto"/>
        <w:jc w:val="both"/>
        <w:rPr>
          <w:rFonts w:ascii="Arial" w:hAnsi="Arial" w:cs="Arial"/>
        </w:rPr>
      </w:pPr>
    </w:p>
    <w:p w14:paraId="438C8304" w14:textId="77777777" w:rsidR="000077C7" w:rsidRPr="000B65D1" w:rsidRDefault="000077C7" w:rsidP="000077C7">
      <w:pPr>
        <w:pStyle w:val="Akapitzlist"/>
        <w:numPr>
          <w:ilvl w:val="0"/>
          <w:numId w:val="1"/>
        </w:numPr>
        <w:spacing w:after="0" w:line="300" w:lineRule="auto"/>
        <w:ind w:left="284" w:hanging="284"/>
        <w:jc w:val="both"/>
        <w:rPr>
          <w:rFonts w:ascii="Arial" w:hAnsi="Arial" w:cs="Arial"/>
          <w:b/>
        </w:rPr>
      </w:pPr>
      <w:r w:rsidRPr="000B65D1">
        <w:rPr>
          <w:rFonts w:ascii="Arial" w:hAnsi="Arial" w:cs="Arial"/>
          <w:b/>
        </w:rPr>
        <w:t>Projekty aktów prawnych</w:t>
      </w:r>
    </w:p>
    <w:p w14:paraId="008AFDB5" w14:textId="77777777" w:rsidR="000077C7" w:rsidRDefault="000077C7" w:rsidP="000077C7">
      <w:pPr>
        <w:spacing w:after="0" w:line="300" w:lineRule="auto"/>
        <w:jc w:val="both"/>
        <w:rPr>
          <w:rFonts w:ascii="Arial" w:hAnsi="Arial" w:cs="Arial"/>
        </w:rPr>
      </w:pPr>
    </w:p>
    <w:p w14:paraId="6F33C6A4" w14:textId="6D83C459" w:rsidR="000077C7" w:rsidRPr="00C70674" w:rsidRDefault="000077C7" w:rsidP="000077C7">
      <w:pPr>
        <w:spacing w:after="0" w:line="300" w:lineRule="auto"/>
        <w:jc w:val="both"/>
        <w:rPr>
          <w:rFonts w:ascii="Arial" w:hAnsi="Arial" w:cs="Arial"/>
        </w:rPr>
      </w:pPr>
      <w:r w:rsidRPr="00C70674">
        <w:rPr>
          <w:rFonts w:ascii="Arial" w:hAnsi="Arial" w:cs="Arial"/>
        </w:rPr>
        <w:t xml:space="preserve">W omawianym okresie </w:t>
      </w:r>
      <w:r w:rsidRPr="00C70674">
        <w:rPr>
          <w:rFonts w:ascii="Arial" w:eastAsia="Calibri" w:hAnsi="Arial" w:cs="Arial"/>
          <w:bCs/>
        </w:rPr>
        <w:t xml:space="preserve">Rządowe Centrum Legislacji opublikowało </w:t>
      </w:r>
      <w:r>
        <w:rPr>
          <w:rFonts w:ascii="Arial" w:eastAsia="Calibri" w:hAnsi="Arial" w:cs="Arial"/>
          <w:bCs/>
        </w:rPr>
        <w:t>5</w:t>
      </w:r>
      <w:r w:rsidRPr="00C70674">
        <w:rPr>
          <w:rFonts w:ascii="Arial" w:eastAsia="Calibri" w:hAnsi="Arial" w:cs="Arial"/>
          <w:bCs/>
        </w:rPr>
        <w:t xml:space="preserve"> projekt</w:t>
      </w:r>
      <w:r>
        <w:rPr>
          <w:rFonts w:ascii="Arial" w:eastAsia="Calibri" w:hAnsi="Arial" w:cs="Arial"/>
          <w:bCs/>
        </w:rPr>
        <w:t>ów</w:t>
      </w:r>
      <w:r>
        <w:rPr>
          <w:rFonts w:ascii="Arial" w:eastAsia="Calibri" w:hAnsi="Arial" w:cs="Arial"/>
          <w:bCs/>
        </w:rPr>
        <w:t xml:space="preserve"> ustaw</w:t>
      </w:r>
      <w:r w:rsidRPr="00C70674">
        <w:rPr>
          <w:rFonts w:ascii="Arial" w:eastAsia="Calibri" w:hAnsi="Arial" w:cs="Arial"/>
          <w:bCs/>
        </w:rPr>
        <w:t xml:space="preserve"> oraz</w:t>
      </w:r>
      <w:r w:rsidRPr="00C70674">
        <w:rPr>
          <w:rFonts w:ascii="Arial" w:hAnsi="Arial" w:cs="Arial"/>
        </w:rPr>
        <w:t xml:space="preserve"> </w:t>
      </w:r>
      <w:r>
        <w:rPr>
          <w:rFonts w:ascii="Arial" w:hAnsi="Arial" w:cs="Arial"/>
        </w:rPr>
        <w:t>19</w:t>
      </w:r>
      <w:r w:rsidRPr="00C70674">
        <w:rPr>
          <w:rFonts w:ascii="Arial" w:hAnsi="Arial" w:cs="Arial"/>
        </w:rPr>
        <w:t xml:space="preserve"> projekt</w:t>
      </w:r>
      <w:r>
        <w:rPr>
          <w:rFonts w:ascii="Arial" w:hAnsi="Arial" w:cs="Arial"/>
        </w:rPr>
        <w:t>ów</w:t>
      </w:r>
      <w:r w:rsidRPr="00C70674">
        <w:rPr>
          <w:rFonts w:ascii="Arial" w:hAnsi="Arial" w:cs="Arial"/>
        </w:rPr>
        <w:t xml:space="preserve"> rozporządzeń Rady Ministrów, Prezesa Rady Ministrów oraz poszczególnych Ministrów.</w:t>
      </w:r>
    </w:p>
    <w:p w14:paraId="30588322" w14:textId="77777777" w:rsidR="000077C7" w:rsidRPr="00C70674" w:rsidRDefault="000077C7" w:rsidP="000077C7">
      <w:pPr>
        <w:spacing w:after="0" w:line="300" w:lineRule="auto"/>
        <w:jc w:val="both"/>
        <w:rPr>
          <w:rFonts w:ascii="Arial" w:hAnsi="Arial" w:cs="Arial"/>
        </w:rPr>
      </w:pPr>
    </w:p>
    <w:p w14:paraId="4EAB709D" w14:textId="569C5AF4" w:rsidR="000077C7" w:rsidRDefault="000077C7" w:rsidP="000077C7">
      <w:pPr>
        <w:spacing w:after="0" w:line="300" w:lineRule="auto"/>
        <w:jc w:val="both"/>
        <w:rPr>
          <w:rFonts w:ascii="Arial" w:hAnsi="Arial" w:cs="Arial"/>
        </w:rPr>
      </w:pPr>
      <w:r>
        <w:rPr>
          <w:rFonts w:ascii="Arial" w:hAnsi="Arial" w:cs="Arial"/>
        </w:rPr>
        <w:t xml:space="preserve">Przeprowadzono konsultacje </w:t>
      </w:r>
      <w:r w:rsidR="00967802">
        <w:rPr>
          <w:rFonts w:ascii="Arial" w:hAnsi="Arial" w:cs="Arial"/>
        </w:rPr>
        <w:t>4</w:t>
      </w:r>
      <w:r>
        <w:rPr>
          <w:rFonts w:ascii="Arial" w:hAnsi="Arial" w:cs="Arial"/>
        </w:rPr>
        <w:t xml:space="preserve"> projekt</w:t>
      </w:r>
      <w:r w:rsidR="00967802">
        <w:rPr>
          <w:rFonts w:ascii="Arial" w:hAnsi="Arial" w:cs="Arial"/>
        </w:rPr>
        <w:t>ów</w:t>
      </w:r>
      <w:r>
        <w:rPr>
          <w:rFonts w:ascii="Arial" w:hAnsi="Arial" w:cs="Arial"/>
        </w:rPr>
        <w:t xml:space="preserve"> ustawy i </w:t>
      </w:r>
      <w:r w:rsidR="00967802">
        <w:rPr>
          <w:rFonts w:ascii="Arial" w:hAnsi="Arial" w:cs="Arial"/>
        </w:rPr>
        <w:t>3</w:t>
      </w:r>
      <w:r>
        <w:rPr>
          <w:rFonts w:ascii="Arial" w:hAnsi="Arial" w:cs="Arial"/>
        </w:rPr>
        <w:t xml:space="preserve"> projekt</w:t>
      </w:r>
      <w:r w:rsidR="00967802">
        <w:rPr>
          <w:rFonts w:ascii="Arial" w:hAnsi="Arial" w:cs="Arial"/>
        </w:rPr>
        <w:t>ów</w:t>
      </w:r>
      <w:r>
        <w:rPr>
          <w:rFonts w:ascii="Arial" w:hAnsi="Arial" w:cs="Arial"/>
        </w:rPr>
        <w:t xml:space="preserve"> rozporządzeń dotyczących podmiotów członkowskich (pracodawcy, przedsiębiorcy, JST) zrzeszonych w Związku. </w:t>
      </w:r>
    </w:p>
    <w:p w14:paraId="220C18E5" w14:textId="77777777" w:rsidR="000077C7" w:rsidRDefault="000077C7" w:rsidP="000077C7">
      <w:pPr>
        <w:spacing w:after="0" w:line="300" w:lineRule="auto"/>
        <w:jc w:val="both"/>
        <w:rPr>
          <w:rFonts w:ascii="Arial" w:hAnsi="Arial" w:cs="Arial"/>
        </w:rPr>
      </w:pPr>
      <w:r>
        <w:rPr>
          <w:rFonts w:ascii="Arial" w:hAnsi="Arial" w:cs="Arial"/>
        </w:rPr>
        <w:t>Do konsultacji przekazane zostały następujące projekty:</w:t>
      </w:r>
    </w:p>
    <w:p w14:paraId="4523C535" w14:textId="77777777" w:rsidR="000077C7" w:rsidRDefault="000077C7" w:rsidP="000077C7">
      <w:pPr>
        <w:spacing w:after="0" w:line="300" w:lineRule="auto"/>
        <w:jc w:val="both"/>
        <w:rPr>
          <w:rFonts w:ascii="Arial" w:hAnsi="Arial" w:cs="Arial"/>
        </w:rPr>
      </w:pPr>
    </w:p>
    <w:p w14:paraId="08516F0E" w14:textId="77777777" w:rsidR="000077C7" w:rsidRDefault="000077C7" w:rsidP="000077C7">
      <w:pPr>
        <w:spacing w:after="0" w:line="300" w:lineRule="auto"/>
        <w:jc w:val="both"/>
        <w:rPr>
          <w:rFonts w:ascii="Arial" w:hAnsi="Arial" w:cs="Arial"/>
        </w:rPr>
      </w:pPr>
      <w:r>
        <w:rPr>
          <w:rFonts w:ascii="Arial" w:hAnsi="Arial" w:cs="Arial"/>
        </w:rPr>
        <w:t>Projekty ustaw:</w:t>
      </w:r>
    </w:p>
    <w:p w14:paraId="69F48A78" w14:textId="77777777" w:rsidR="00967802" w:rsidRDefault="00967802" w:rsidP="000077C7">
      <w:pPr>
        <w:spacing w:after="0" w:line="300" w:lineRule="auto"/>
        <w:jc w:val="both"/>
        <w:rPr>
          <w:rFonts w:ascii="Arial" w:hAnsi="Arial" w:cs="Arial"/>
        </w:rPr>
      </w:pPr>
    </w:p>
    <w:p w14:paraId="3EAAF721" w14:textId="75AF495A" w:rsidR="00967802" w:rsidRPr="00967802" w:rsidRDefault="00967802" w:rsidP="000077C7">
      <w:pPr>
        <w:pStyle w:val="Akapitzlist"/>
        <w:numPr>
          <w:ilvl w:val="0"/>
          <w:numId w:val="3"/>
        </w:numPr>
        <w:spacing w:after="0" w:line="300" w:lineRule="auto"/>
        <w:jc w:val="both"/>
        <w:rPr>
          <w:rFonts w:ascii="Arial" w:hAnsi="Arial" w:cs="Arial"/>
          <w:b/>
          <w:bCs/>
          <w:u w:val="single"/>
        </w:rPr>
      </w:pPr>
      <w:r w:rsidRPr="00967802">
        <w:rPr>
          <w:rFonts w:ascii="Arial" w:hAnsi="Arial" w:cs="Arial"/>
          <w:b/>
          <w:bCs/>
          <w:u w:val="single"/>
        </w:rPr>
        <w:t>P</w:t>
      </w:r>
      <w:r w:rsidRPr="00967802">
        <w:rPr>
          <w:rFonts w:ascii="Arial" w:hAnsi="Arial" w:cs="Arial"/>
          <w:b/>
          <w:bCs/>
          <w:u w:val="single"/>
        </w:rPr>
        <w:t>rojekt ustawy o zmianie ustawy – Prawo geologiczne i górnicze oraz ustawy o odpadach (UD400).</w:t>
      </w:r>
    </w:p>
    <w:p w14:paraId="5A59544A" w14:textId="77777777" w:rsidR="00967802" w:rsidRPr="00967802" w:rsidRDefault="00967802" w:rsidP="00967802">
      <w:pPr>
        <w:spacing w:after="0" w:line="300" w:lineRule="auto"/>
        <w:jc w:val="both"/>
        <w:rPr>
          <w:rFonts w:ascii="Arial" w:hAnsi="Arial" w:cs="Arial"/>
        </w:rPr>
      </w:pPr>
    </w:p>
    <w:p w14:paraId="11AA3DD3"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Minister Klimatu i Środowiska prowadzi prace nad rozporządzeniem wydawanym na podstawie art. 125 ust. 7 ustawy z dnia 9 czerwca 2011 r. - Prawo geologiczne i górnicze (Dz. U. z 2026 r. poz. 69, zwanej dalej: „p.g.g.”), które określa szczegółowe wymagania dla poszczególnych typów podziemnych składowisk odpadów, o których mowa w art. 125 ust. 1 pkt 1, 2 i 3 p.g.g. dotyczące lokalizacji, eksploatacji i zamknięcia, a także zakres, sposób i warunki prowadzenia monitoringu tych składowisk. </w:t>
      </w:r>
    </w:p>
    <w:p w14:paraId="4B129102" w14:textId="77777777" w:rsidR="00967802" w:rsidRPr="00967802" w:rsidRDefault="00967802" w:rsidP="00967802">
      <w:pPr>
        <w:spacing w:after="0" w:line="300" w:lineRule="auto"/>
        <w:jc w:val="both"/>
        <w:rPr>
          <w:rFonts w:ascii="Arial" w:hAnsi="Arial" w:cs="Arial"/>
        </w:rPr>
      </w:pPr>
      <w:r w:rsidRPr="00967802">
        <w:rPr>
          <w:rFonts w:ascii="Arial" w:hAnsi="Arial" w:cs="Arial"/>
        </w:rPr>
        <w:t>Minister Klimatu i Środowiska prowadzi także prace nad rozporządzeniem wydawanym na podstawie art. 125 ust. 8 p.g.g.</w:t>
      </w:r>
    </w:p>
    <w:p w14:paraId="2251CCE6" w14:textId="77777777" w:rsidR="00967802" w:rsidRPr="00967802" w:rsidRDefault="00967802" w:rsidP="00967802">
      <w:pPr>
        <w:spacing w:after="0" w:line="300" w:lineRule="auto"/>
        <w:jc w:val="both"/>
        <w:rPr>
          <w:rFonts w:ascii="Arial" w:hAnsi="Arial" w:cs="Arial"/>
        </w:rPr>
      </w:pPr>
      <w:r w:rsidRPr="00967802">
        <w:rPr>
          <w:rFonts w:ascii="Arial" w:hAnsi="Arial" w:cs="Arial"/>
        </w:rPr>
        <w:t>Zgodnie z art. 125 ust. 8 p.g.g., minister właściwy do spraw klimatu w porozumieniu z ministrem właściwym do spraw środowiska jest zobligowany do określenia, w drodze rozporządzenia, rodzajów odpadów, które mogą być składowane podziemnie w sposób nieselektywny oraz kryteriów i procedur dopuszczenia odpadów na składowiska podziemne, kierując się potrzebami zapewnienia ochrony środowiska, bezpieczeństwa powszechnego oraz prawidłowego postępowania z odpadami, a także uwzględniając zjawiska przyrodnicze i uwarunkowania geologiczne.</w:t>
      </w:r>
    </w:p>
    <w:p w14:paraId="372E5EDC"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W toku prowadzonych prac stwierdzono, że przepisy regulujące procedury dopuszczenia odpadów na podziemne składowisko odpadów powinny stanowić materię rangi ustawowej i </w:t>
      </w:r>
      <w:r w:rsidRPr="00967802">
        <w:rPr>
          <w:rFonts w:ascii="Arial" w:hAnsi="Arial" w:cs="Arial"/>
        </w:rPr>
        <w:lastRenderedPageBreak/>
        <w:t xml:space="preserve">nie mogą być określone w akcie prawnym rangi rozporządzenia. Ponadto niektóre regulacje dotychczas zawarte w Rozporządzeniu PSO, które aktualnie miały się znaleźć w rozporządzeniu wydawanym na podstawie art. 125 ust. 7 p.g.g., dotyczące obowiązków nakładanych na przedsiębiorców, także powinny zostać uregulowane w ustawie. </w:t>
      </w:r>
    </w:p>
    <w:p w14:paraId="08F9E675"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W rezultacie projektuje się zamieszczenie tych przepisów w p.g.g. oraz w ustawie z dnia 14 grudnia 2012 r. o odpadach (Dz. U. z 2023 r. poz. 1587 ze zm., dalej także jako: „u.o.”). Dodatkowo zaproponowano rezygnację z art. 125 ust. 8 p.g.g. i wprowadzenie, zamiast tego przepisu, odesłania do rozporządzenia wydawanego na podstawie art. 118 u.o., co doprowadzi do ujednolicenia kryteriów przyjmowania odpadów na składowiska podziemne i naziemne, a także rezygnacji z nieselektywnego składowania odpadów w podziemnych składowiskach odpadów (przepisy § 17 Rozporządzenia PSO nie były dotychczas stosowane). </w:t>
      </w:r>
    </w:p>
    <w:p w14:paraId="760AC362"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Dodatkowym problemem jest ryzyko wygaśnięcia aktualnie obowiązującego rozporządzenia Ministra Środowiska z dnia 28 grudnia 2011 r. w sprawie podziemnych składowisk odpadów (Dz. U. poz. 1771), zwanego dalej: „Rozporządzeniem PSO”. Z tego względu należy wydłużyć czas jego obowiązywania. </w:t>
      </w:r>
    </w:p>
    <w:p w14:paraId="15F67F3D"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Do zmiany ustawy o działach administracji rządowej tj. do 29 lutego 2020 r., upoważnienie w p.g.g., do wydania rozporządzenia w sprawie podziemnych składowisk odpadów znajdowało się w jednym przepisie (art. 125 ust. 7 p.g.g.). Po wprowadzeniu podziału na dwa upoważnienia, ustawą z dnia 23 stycznia 2020 r. o zmianie ustawy o działach administracji rządowej oraz niektórych innych ustaw (Dz. U. z 2020 r. poz. 284), zwanej dalej: „Ustawą nowelizującą”, za wydanie rozporządzenia na podstawie art. 125 ust. 7 p.g.g. odpowiada minister właściwy do spraw środowiska, a za wydanie rozporządzenia na podstawie art. 125 ust. 8 p.g.g. odpowiada minister właściwy do spraw klimatu. Obydwa upoważnienia uszczegóławiają przepisy dotyczące podziemnego składowania odpadów znajdujące się w p.g.g. </w:t>
      </w:r>
    </w:p>
    <w:p w14:paraId="2C7C0BB9" w14:textId="77777777" w:rsidR="00967802" w:rsidRPr="00967802" w:rsidRDefault="00967802" w:rsidP="00967802">
      <w:pPr>
        <w:spacing w:after="0" w:line="300" w:lineRule="auto"/>
        <w:jc w:val="both"/>
        <w:rPr>
          <w:rFonts w:ascii="Arial" w:hAnsi="Arial" w:cs="Arial"/>
        </w:rPr>
      </w:pPr>
      <w:r w:rsidRPr="00967802">
        <w:rPr>
          <w:rFonts w:ascii="Arial" w:hAnsi="Arial" w:cs="Arial"/>
        </w:rPr>
        <w:t>Rozporządzenie PSO zostało utrzymane w mocy na podstawie art. 111 ust. 2 Ustawy nowelizującej, który utrzymał czasowo w mocy ten akt wykonawczy, bez wskazania terminu granicznego. Przedmiotowe rozporządzenie zostało utrzymane w mocy jedynie do dnia wejścia w życie przepisów wykonawczych wydanych na podstawie art. 125 ust. 7 i 8 ustawy p.g.g., bez możliwości jego nowelizacji. Jednakże następnie, zgodnie z art. 75 ust. 1 ustawy z 16 czerwca 2023 r. o zmianie ustawy – Prawo geologiczne i górnicze oraz niektórych innych ustaw (Dz. U. poz. 2029), dotychczasowe przepisy wykonawcze wydane m.in. na podstawie art. 125 ust. 7 p.g.g. zachowują moc do dnia wejścia w życie przepisów wykonawczych wydanych na podstawie art. 125 ust. 7 p.g.g., jednak nie dłużej niż przez 36 miesięcy od dnia wejścia w życie niniejszej ustawy i mogą być zmieniane na podstawie przepisów dotychczasowych. Z tego powodu Rozporządzenie PSO utraci moc z dniem 28.10.2026 r.</w:t>
      </w:r>
    </w:p>
    <w:p w14:paraId="2DDA7367" w14:textId="77777777" w:rsidR="00967802" w:rsidRPr="00967802" w:rsidRDefault="00967802" w:rsidP="00967802">
      <w:pPr>
        <w:spacing w:after="0" w:line="300" w:lineRule="auto"/>
        <w:jc w:val="both"/>
        <w:rPr>
          <w:rFonts w:ascii="Arial" w:hAnsi="Arial" w:cs="Arial"/>
        </w:rPr>
      </w:pPr>
      <w:r w:rsidRPr="00967802">
        <w:rPr>
          <w:rFonts w:ascii="Arial" w:hAnsi="Arial" w:cs="Arial"/>
        </w:rPr>
        <w:t>Z uwagi na konieczność wcześniejszego uchwalenia nowelizacji p.g.g., związanej z wprowadzeniem do tej ustawy przepisów stanowiących materię ustawową, dotyczących dopuszczenia odpadów na podziemne składowisko odpadów oraz usunięcia art. 125 ust. 8 p.g.g., istnieje ryzyko niedotrzymania tego terminu.</w:t>
      </w:r>
    </w:p>
    <w:p w14:paraId="3089FCED"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Należy uchylić upoważnienie ustawowe do wydania rozporządzenia ujęte w art. 125 ust. 8 p.g.g. i wprowadzić, zamiast tego przepisu, odesłanie do rozporządzenia wydawanego na podstawie art. 118 u.o., Do ustawy p.g.g. należy dodać przepisy umożliwiające określenie dopuszczenia odpadów na składowiska podziemne oraz regulacje dotychczas zawarte w </w:t>
      </w:r>
      <w:r w:rsidRPr="00967802">
        <w:rPr>
          <w:rFonts w:ascii="Arial" w:hAnsi="Arial" w:cs="Arial"/>
        </w:rPr>
        <w:lastRenderedPageBreak/>
        <w:t xml:space="preserve">Rozporządzeniu PSO, dotyczące obowiązków nakładanych na przedsiębiorców w tym poprzez odesłanie do odpowiednich przepisów u.o., a także zmianę tej ustawy. Dotychczasowe obowiązki pozostają zachowane, jednak zmienia się nieco ich treść. Zmiana treści tych obowiązków wynika konieczności ich uaktualnienia, m.in. w związku z przepisami wdrażającymi dyrektywy Rady 1999/31/WE z dnia 26 kwietnia 1999 r. w sprawie składowania odpadów (Dz. Urz. WE L 182 z 16.07.1999, str. 1, z późn. zm.; Dz. Urz. UE Polskie wydanie specjalne, rozdz. 15, t. 4, str. 228), w tym usunięcie odesłań do nieobowiązujących aktów prawnych, w szczególności: </w:t>
      </w:r>
    </w:p>
    <w:p w14:paraId="38B8E704" w14:textId="77777777" w:rsidR="00967802" w:rsidRPr="00967802" w:rsidRDefault="00967802" w:rsidP="00967802">
      <w:pPr>
        <w:pStyle w:val="Akapitzlist"/>
        <w:numPr>
          <w:ilvl w:val="0"/>
          <w:numId w:val="7"/>
        </w:numPr>
        <w:spacing w:after="0" w:line="300" w:lineRule="auto"/>
        <w:ind w:left="567" w:hanging="283"/>
        <w:jc w:val="both"/>
        <w:rPr>
          <w:rFonts w:ascii="Arial" w:hAnsi="Arial" w:cs="Arial"/>
        </w:rPr>
      </w:pPr>
      <w:r w:rsidRPr="00967802">
        <w:rPr>
          <w:rFonts w:ascii="Arial" w:hAnsi="Arial" w:cs="Arial"/>
        </w:rPr>
        <w:t>§ 11 Rozporządzenia PSO nakłada na przedsiębiorców obowiązek prowadzenia monitoringu podziemnego składowiska odpadów w trzech fazach: przedeksploatacyjnej, eksploatacyjnej oraz poeksploatacyjnej; niniejszą ustawą zmienia się okres trwania fazy eksploatacyjnej i poeksploatacyjnej wskazując, że granicą między tymi fazami nie będzie dzień uzyskania decyzji o cofnięciu lub wygaśnięciu koncesji na podziemne składowanie odpadów, tylko dzień zakończenia likwidacji zakładu górniczego;</w:t>
      </w:r>
    </w:p>
    <w:p w14:paraId="288352E8" w14:textId="77777777" w:rsidR="00967802" w:rsidRPr="00967802" w:rsidRDefault="00967802" w:rsidP="00967802">
      <w:pPr>
        <w:pStyle w:val="Akapitzlist"/>
        <w:numPr>
          <w:ilvl w:val="0"/>
          <w:numId w:val="7"/>
        </w:numPr>
        <w:spacing w:after="0" w:line="300" w:lineRule="auto"/>
        <w:ind w:left="567" w:hanging="283"/>
        <w:jc w:val="both"/>
        <w:rPr>
          <w:rFonts w:ascii="Arial" w:hAnsi="Arial" w:cs="Arial"/>
        </w:rPr>
      </w:pPr>
      <w:r w:rsidRPr="00967802">
        <w:rPr>
          <w:rFonts w:ascii="Arial" w:hAnsi="Arial" w:cs="Arial"/>
        </w:rPr>
        <w:t>zgodnie z § 14 ust. 3 Rozporządzenia PSO, okres prowadzenia monitoringu w fazie poeksploatacyjnej wydłuża się w przypadku stwierdzenia migracji substancji niebezpiecznych pochodzących ze składowanych odpadów poza granice przestrzeni objętej przewidywanymi szkodliwymi wpływami podziemnego składowania odpadów; niniejszą ustawą doprecyzowano, który organ jest do tego uprawniony</w:t>
      </w:r>
    </w:p>
    <w:p w14:paraId="51104893" w14:textId="77777777" w:rsidR="00967802" w:rsidRPr="00967802" w:rsidRDefault="00967802" w:rsidP="00967802">
      <w:pPr>
        <w:pStyle w:val="Akapitzlist"/>
        <w:numPr>
          <w:ilvl w:val="0"/>
          <w:numId w:val="7"/>
        </w:numPr>
        <w:spacing w:after="0" w:line="300" w:lineRule="auto"/>
        <w:ind w:left="567" w:hanging="283"/>
        <w:jc w:val="both"/>
        <w:rPr>
          <w:rFonts w:ascii="Arial" w:hAnsi="Arial" w:cs="Arial"/>
        </w:rPr>
      </w:pPr>
      <w:r w:rsidRPr="00967802">
        <w:rPr>
          <w:rFonts w:ascii="Arial" w:hAnsi="Arial" w:cs="Arial"/>
        </w:rPr>
        <w:t>Zawartość podstawowej charakterystyki odpadów ulegnie zmianie:</w:t>
      </w:r>
    </w:p>
    <w:p w14:paraId="78BD1560" w14:textId="77777777" w:rsidR="00967802" w:rsidRPr="00967802" w:rsidRDefault="00967802" w:rsidP="00967802">
      <w:pPr>
        <w:pStyle w:val="Akapitzlist"/>
        <w:numPr>
          <w:ilvl w:val="1"/>
          <w:numId w:val="8"/>
        </w:numPr>
        <w:spacing w:after="0" w:line="300" w:lineRule="auto"/>
        <w:ind w:left="993" w:hanging="284"/>
        <w:jc w:val="both"/>
        <w:rPr>
          <w:rFonts w:ascii="Arial" w:hAnsi="Arial" w:cs="Arial"/>
        </w:rPr>
      </w:pPr>
      <w:r w:rsidRPr="00967802">
        <w:rPr>
          <w:rFonts w:ascii="Arial" w:hAnsi="Arial" w:cs="Arial"/>
        </w:rPr>
        <w:t xml:space="preserve">§ 20 ust.1 pkt 2 Rozporządzenia PSO wskazuje, że podstawowa charakterystyka odpadów zawiera kod odpadu, przepis ten zawiera odesłanie do nieobowiązującego już aktu prawnego. Projektowane jest odesłanie do art. 110 ust. 2 pkt 1 lit. b u.o., zgodnie z którym w podstawowej charakterystyce odpadów należy zawrzeć rodzaj odpadów. </w:t>
      </w:r>
    </w:p>
    <w:p w14:paraId="08EA0C40" w14:textId="77777777" w:rsidR="00967802" w:rsidRPr="00967802" w:rsidRDefault="00967802" w:rsidP="00967802">
      <w:pPr>
        <w:pStyle w:val="Akapitzlist"/>
        <w:numPr>
          <w:ilvl w:val="1"/>
          <w:numId w:val="8"/>
        </w:numPr>
        <w:spacing w:after="0" w:line="300" w:lineRule="auto"/>
        <w:ind w:left="993" w:hanging="284"/>
        <w:jc w:val="both"/>
        <w:rPr>
          <w:rFonts w:ascii="Arial" w:hAnsi="Arial" w:cs="Arial"/>
        </w:rPr>
      </w:pPr>
      <w:r w:rsidRPr="00967802">
        <w:rPr>
          <w:rFonts w:ascii="Arial" w:hAnsi="Arial" w:cs="Arial"/>
        </w:rPr>
        <w:t xml:space="preserve">przepis § 20 ust. 1 pkt 7 Rozporządzenia PSO zawiera odniesienie do nieobowiązujących już przepisów dot. odpadów, które mogą zostać przekwalifikowane na odpady inne niż niebezpieczne, w tym zakresie nastąpi odesłanie do art. 110 ust. 2 pkt 1 lit. g u.o. </w:t>
      </w:r>
    </w:p>
    <w:p w14:paraId="15E496D8" w14:textId="77777777" w:rsidR="00967802" w:rsidRPr="00967802" w:rsidRDefault="00967802" w:rsidP="00967802">
      <w:pPr>
        <w:pStyle w:val="Akapitzlist"/>
        <w:numPr>
          <w:ilvl w:val="1"/>
          <w:numId w:val="8"/>
        </w:numPr>
        <w:spacing w:after="0" w:line="300" w:lineRule="auto"/>
        <w:ind w:left="993" w:hanging="284"/>
        <w:jc w:val="both"/>
        <w:rPr>
          <w:rFonts w:ascii="Arial" w:hAnsi="Arial" w:cs="Arial"/>
        </w:rPr>
      </w:pPr>
      <w:r w:rsidRPr="00967802">
        <w:rPr>
          <w:rFonts w:ascii="Arial" w:hAnsi="Arial" w:cs="Arial"/>
        </w:rPr>
        <w:t>z § 20 ust. 1 pkt 12 Rozporządzenia PSO wynika, że podstawowa charakterystyka odpadów zawiera informacje dotyczące fizykochemicznego składu odpadów oraz podatności na wymywanie, natomiast projektowane odesłanie do art. 110 ust. 2 pkt 2 lit. a u.o. zawiera zastrzeżenie, że informacje te są zawierane w podstawowej charakterystyce odpadów, o ile są istotne dla eksploatacji danego typu składowiska odpadów.</w:t>
      </w:r>
    </w:p>
    <w:p w14:paraId="7D7B9AA8" w14:textId="77777777" w:rsidR="00967802" w:rsidRPr="00967802" w:rsidRDefault="00967802" w:rsidP="00967802">
      <w:pPr>
        <w:pStyle w:val="Akapitzlist"/>
        <w:numPr>
          <w:ilvl w:val="0"/>
          <w:numId w:val="7"/>
        </w:numPr>
        <w:spacing w:after="0" w:line="300" w:lineRule="auto"/>
        <w:ind w:left="567" w:hanging="283"/>
        <w:jc w:val="both"/>
        <w:rPr>
          <w:rFonts w:ascii="Arial" w:hAnsi="Arial" w:cs="Arial"/>
        </w:rPr>
      </w:pPr>
      <w:r w:rsidRPr="00967802">
        <w:rPr>
          <w:rFonts w:ascii="Arial" w:hAnsi="Arial" w:cs="Arial"/>
        </w:rPr>
        <w:t>§ 21 ust. 3 pkt 1 Rozporządzenia PSO stanowił, że podstawową charakterystykę odpadów można sporządzać bez przeprowadzania badań, o których mowa w § 20 ust. 1 pkt 8, dla odpadów określonych w załączniku nr 1 do rozporządzenia, przyjmowanych na składowisko odpadów obojętnych. Odesłanie do art. 110 ust. 5 pkt 1 u.o. spowoduje, że w analogicznej sytuacji podstawowa charakterystyka odpadów będzie sporządzana bez przeprowadzania takich badań, o ile pochodzą od jednego wytwórcy odpadów i stanowią jeden strumień odpadów.</w:t>
      </w:r>
    </w:p>
    <w:p w14:paraId="09E91619" w14:textId="77777777" w:rsidR="00967802" w:rsidRPr="00967802" w:rsidRDefault="00967802" w:rsidP="00967802">
      <w:pPr>
        <w:pStyle w:val="Akapitzlist"/>
        <w:numPr>
          <w:ilvl w:val="0"/>
          <w:numId w:val="7"/>
        </w:numPr>
        <w:spacing w:after="0" w:line="300" w:lineRule="auto"/>
        <w:ind w:left="567" w:hanging="283"/>
        <w:jc w:val="both"/>
        <w:rPr>
          <w:rFonts w:ascii="Arial" w:hAnsi="Arial" w:cs="Arial"/>
        </w:rPr>
      </w:pPr>
      <w:r w:rsidRPr="00967802">
        <w:rPr>
          <w:rFonts w:ascii="Arial" w:hAnsi="Arial" w:cs="Arial"/>
        </w:rPr>
        <w:t xml:space="preserve">§ 21 ust. 3 pkt 2 Rozporządzenia PSO stanowił, że podstawową charakterystykę odpadów można sporządzać bez przeprowadzania badań, o których mowa w § 20 ust. </w:t>
      </w:r>
      <w:r w:rsidRPr="00967802">
        <w:rPr>
          <w:rFonts w:ascii="Arial" w:hAnsi="Arial" w:cs="Arial"/>
        </w:rPr>
        <w:lastRenderedPageBreak/>
        <w:t>1 pkt 8, dla odpadów, dla których testy zgodności nie mogą zostać wykonane ze względów technicznych lub niedostępne są metody badań poszczególnych kryteriów dopuszczania. Odesłanie do art. 110 ust. 5 pkt 3 u.o. spowoduje, że w analogicznej sytuacji podstawowa charakterystyka odpadów będzie sporządzana bez przeprowadzania takich badań, o ile pochodzą od jednego wytwórcy odpadów i stanowią jeden strumień odpadów, a dodatkowo w przypadku odpadów, dla których wykonywanie badań jest niepraktyczne.</w:t>
      </w:r>
    </w:p>
    <w:p w14:paraId="4E016252" w14:textId="77777777" w:rsidR="00967802" w:rsidRPr="00967802" w:rsidRDefault="00967802" w:rsidP="00967802">
      <w:pPr>
        <w:pStyle w:val="Akapitzlist"/>
        <w:numPr>
          <w:ilvl w:val="0"/>
          <w:numId w:val="7"/>
        </w:numPr>
        <w:spacing w:after="0" w:line="300" w:lineRule="auto"/>
        <w:ind w:left="567" w:hanging="283"/>
        <w:jc w:val="both"/>
        <w:rPr>
          <w:rFonts w:ascii="Arial" w:hAnsi="Arial" w:cs="Arial"/>
        </w:rPr>
      </w:pPr>
      <w:r w:rsidRPr="00967802">
        <w:rPr>
          <w:rFonts w:ascii="Arial" w:hAnsi="Arial" w:cs="Arial"/>
        </w:rPr>
        <w:t>Zgodnie z § 21 ust. 5 Rozporządzenia PSO w przypadku, o którym mowa w ust. 3 pkt 2 Rozporządzenia PSO, odpady dopuszcza się do składowania na podziemnym składowisku odpadów, jeżeli wytwórca lub posiadacz odpadów odpowiedzialny za ich zagospodarowanie przekaże zarządzającemu podziemnym składowiskiem odpadów informacje w tym zakresie, włącznie z podaniem przyczyn uznania odpadu za dopuszczalny do składowania na danym typie podziemnego składowiska odpadów. Odesłanie do art. 110 ust. 7 u.o. spowoduje, że w przypadku, o którym mowa w ust. 5 pkt 3 u.o., odpady mogą być dopuszczone do składowania na składowisku odpadów danego typu, jeżeli wytwórca lub posiadacz odpadów odpowiedzialny za ich zagospodarowanie przekaże uzasadnienie w tym zakresie zarządzającemu składowiskiem odpadów, odpowiednio je dokumentując</w:t>
      </w:r>
    </w:p>
    <w:p w14:paraId="2625C832" w14:textId="77777777" w:rsidR="00967802" w:rsidRPr="00967802" w:rsidRDefault="00967802" w:rsidP="00967802">
      <w:pPr>
        <w:spacing w:after="0" w:line="300" w:lineRule="auto"/>
        <w:jc w:val="both"/>
        <w:rPr>
          <w:rFonts w:ascii="Arial" w:hAnsi="Arial" w:cs="Arial"/>
        </w:rPr>
      </w:pPr>
      <w:r w:rsidRPr="00967802">
        <w:rPr>
          <w:rFonts w:ascii="Arial" w:hAnsi="Arial" w:cs="Arial"/>
        </w:rPr>
        <w:t>Dodatkowo wskutek uzgodnień wewnątrzresortowych dodano inne zmiany do projektu:</w:t>
      </w:r>
    </w:p>
    <w:p w14:paraId="127DE8EE" w14:textId="77777777" w:rsidR="00967802" w:rsidRPr="00967802" w:rsidRDefault="00967802" w:rsidP="00967802">
      <w:pPr>
        <w:pStyle w:val="Akapitzlist"/>
        <w:numPr>
          <w:ilvl w:val="0"/>
          <w:numId w:val="6"/>
        </w:numPr>
        <w:spacing w:after="0" w:line="300" w:lineRule="auto"/>
        <w:ind w:left="567" w:hanging="283"/>
        <w:jc w:val="both"/>
        <w:rPr>
          <w:rFonts w:ascii="Arial" w:hAnsi="Arial" w:cs="Arial"/>
        </w:rPr>
      </w:pPr>
      <w:r w:rsidRPr="00967802">
        <w:rPr>
          <w:rFonts w:ascii="Arial" w:hAnsi="Arial" w:cs="Arial"/>
        </w:rPr>
        <w:t>art. 125 ust. 4 p.g.g. określa, w jakich celach prowadzi się monitoring podziemnego składowiska odpadów; niniejszą ustawą dodaje się jeszcze kolejny cel prowadzenia monitoringu, jakim jest wykrycia nieprawidłowości w procesie składowania odpadów.</w:t>
      </w:r>
    </w:p>
    <w:p w14:paraId="035D9FDF" w14:textId="77777777" w:rsidR="00967802" w:rsidRPr="00967802" w:rsidRDefault="00967802" w:rsidP="00967802">
      <w:pPr>
        <w:pStyle w:val="Akapitzlist"/>
        <w:numPr>
          <w:ilvl w:val="0"/>
          <w:numId w:val="6"/>
        </w:numPr>
        <w:spacing w:after="0" w:line="300" w:lineRule="auto"/>
        <w:ind w:left="567" w:hanging="283"/>
        <w:jc w:val="both"/>
        <w:rPr>
          <w:rFonts w:ascii="Arial" w:hAnsi="Arial" w:cs="Arial"/>
        </w:rPr>
      </w:pPr>
      <w:r w:rsidRPr="00967802">
        <w:rPr>
          <w:rFonts w:ascii="Arial" w:hAnsi="Arial" w:cs="Arial"/>
        </w:rPr>
        <w:t>w art. 125 ust. 5 p.g.g. usunięto możliwość nieselektywnego składowania odpadów w podziemnych składowiskach odpadów.</w:t>
      </w:r>
    </w:p>
    <w:p w14:paraId="39CAE456" w14:textId="77777777" w:rsidR="00967802" w:rsidRPr="00967802" w:rsidRDefault="00967802" w:rsidP="00967802">
      <w:pPr>
        <w:pStyle w:val="Akapitzlist"/>
        <w:numPr>
          <w:ilvl w:val="0"/>
          <w:numId w:val="6"/>
        </w:numPr>
        <w:spacing w:after="0" w:line="300" w:lineRule="auto"/>
        <w:ind w:left="567" w:hanging="283"/>
        <w:jc w:val="both"/>
        <w:rPr>
          <w:rFonts w:ascii="Arial" w:hAnsi="Arial" w:cs="Arial"/>
        </w:rPr>
      </w:pPr>
      <w:r w:rsidRPr="00967802">
        <w:rPr>
          <w:rFonts w:ascii="Arial" w:hAnsi="Arial" w:cs="Arial"/>
        </w:rPr>
        <w:t>w delegacji do wydania rozporządzenia w art. 125 ust. 7 p.g.g. dodano częstotliwość prowadzenia monitoringu tych składowisk, która wcześniej nie była regulowana w Rozporządzeniu PSO, a jednocześnie w odniesieniu do powierzchniowych składowisk odpadów jest określana w akcie wykonawczym do ustawy o odpadach (rozporządzenie Ministra Środowiska z dnia 30 kwietnia 2013 r. w sprawie składowisk odpadów, Dz. U. z 2022 r. poz. 1902), zatem w celu zapewnienia spójności systemowej analogiczne rozwiązanie zostanie wprowadzone w p.g.g.</w:t>
      </w:r>
    </w:p>
    <w:p w14:paraId="37A6852B" w14:textId="77777777" w:rsidR="00967802" w:rsidRPr="00967802" w:rsidRDefault="00967802" w:rsidP="00967802">
      <w:pPr>
        <w:pStyle w:val="Akapitzlist"/>
        <w:numPr>
          <w:ilvl w:val="0"/>
          <w:numId w:val="6"/>
        </w:numPr>
        <w:spacing w:after="0" w:line="300" w:lineRule="auto"/>
        <w:ind w:left="567" w:hanging="283"/>
        <w:jc w:val="both"/>
        <w:rPr>
          <w:rFonts w:ascii="Arial" w:hAnsi="Arial" w:cs="Arial"/>
        </w:rPr>
      </w:pPr>
      <w:r w:rsidRPr="00967802">
        <w:rPr>
          <w:rFonts w:ascii="Arial" w:hAnsi="Arial" w:cs="Arial"/>
        </w:rPr>
        <w:t>w art. 127 ust. 2 p.g.g. wskazano, które przepisy p.g.g. mają zastosowanie do podziemnego składowania odpadów wydobywczych; niniejszą ustawą precyzuje się, że do takiej działalności będą miały także zastosowanie przepisy rozporządzenia wydawanego na podstawie art. 125 ust. 7 p.g.g. oraz przepisy art. 125 ust. 4a i 4b dodawane niniejszą ustawą.</w:t>
      </w:r>
    </w:p>
    <w:p w14:paraId="0A4F98DE"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Z uwagi na zaproponowaną zmianę przepisów art. 125 ust. 7 p.g.g., zachodzi potrzeba wprowadzenia przepisów przejściowych odraczających utratę mocy obowiązującej przez Rozporządzenie PSO. Należy przy tym zaznaczyć, że aktualnie nadal obowiązuje Rozporządzenie PSO z 2011 r. Przepis upoważniający do jego wydania był kilkakrotnie nowelizowany, jednakże od tego czasu nie nastąpiła zmiana samego Rozporządzenia PSO. Dokonywana niniejszą ustawą zmiana delegacji ustawowej – art. 125 ust. 7 p.g.g. powoduje konieczność dodania przepisów przejściowych w zakresie dotychczas obowiązującego aktu wykonawczego. Zgodnie z zasadą lex posterior derogat legi priori, przepis późniejszy uchyla </w:t>
      </w:r>
      <w:r w:rsidRPr="00967802">
        <w:rPr>
          <w:rFonts w:ascii="Arial" w:hAnsi="Arial" w:cs="Arial"/>
        </w:rPr>
        <w:lastRenderedPageBreak/>
        <w:t>wcześniejszy w zakresie tej samej materii. Należy zatem przyjąć, że przepis przejściowy zawarty w niniejszej ustawie zastąpi ww. przepisy przejściowe określające termin obowiązywania Rozporządzenia PSO.</w:t>
      </w:r>
    </w:p>
    <w:p w14:paraId="4FF5B3DA" w14:textId="2AA832C0" w:rsidR="00967802" w:rsidRDefault="00967802" w:rsidP="00967802">
      <w:pPr>
        <w:spacing w:after="0" w:line="300" w:lineRule="auto"/>
        <w:jc w:val="both"/>
        <w:rPr>
          <w:rFonts w:ascii="Arial" w:hAnsi="Arial" w:cs="Arial"/>
        </w:rPr>
      </w:pPr>
      <w:r w:rsidRPr="00967802">
        <w:rPr>
          <w:rFonts w:ascii="Arial" w:hAnsi="Arial" w:cs="Arial"/>
        </w:rPr>
        <w:t>Nie da się osiągnąć celu za pomocą środków innych niż legislacyjne, z uwagi na to, że aktualnie delegacja do wydania rozporządzenia oraz data wygaśnięcia Rozporządzenia PSO są uregulowane w ustawie.</w:t>
      </w:r>
    </w:p>
    <w:p w14:paraId="7A314274" w14:textId="77777777" w:rsidR="00967802" w:rsidRDefault="00967802" w:rsidP="00967802">
      <w:pPr>
        <w:spacing w:after="0" w:line="300" w:lineRule="auto"/>
        <w:jc w:val="both"/>
        <w:rPr>
          <w:rFonts w:ascii="Arial" w:hAnsi="Arial" w:cs="Arial"/>
        </w:rPr>
      </w:pPr>
    </w:p>
    <w:p w14:paraId="4565E30A"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Przedmiotowy projekt aktu prawnego wraz z Uzasadnieniem oraz Oceną Skutków Regulacji dostępny jest na stronach Rządowego Centrum Legislacji pod adresem: </w:t>
      </w:r>
    </w:p>
    <w:p w14:paraId="695F8DE9" w14:textId="480CB56E" w:rsidR="00967802" w:rsidRDefault="00967802" w:rsidP="00967802">
      <w:pPr>
        <w:spacing w:after="0" w:line="300" w:lineRule="auto"/>
        <w:jc w:val="both"/>
        <w:rPr>
          <w:rFonts w:ascii="Arial" w:hAnsi="Arial" w:cs="Arial"/>
        </w:rPr>
      </w:pPr>
      <w:hyperlink r:id="rId6" w:history="1">
        <w:r w:rsidRPr="00627031">
          <w:rPr>
            <w:rStyle w:val="Hipercze"/>
            <w:rFonts w:ascii="Arial" w:hAnsi="Arial" w:cs="Arial"/>
          </w:rPr>
          <w:t>https://legislacja.rcl.gov.pl/projekt/12415151/katalog</w:t>
        </w:r>
        <w:r w:rsidRPr="00627031">
          <w:rPr>
            <w:rStyle w:val="Hipercze"/>
            <w:rFonts w:ascii="Arial" w:hAnsi="Arial" w:cs="Arial"/>
          </w:rPr>
          <w:t>/</w:t>
        </w:r>
        <w:r w:rsidRPr="00627031">
          <w:rPr>
            <w:rStyle w:val="Hipercze"/>
            <w:rFonts w:ascii="Arial" w:hAnsi="Arial" w:cs="Arial"/>
          </w:rPr>
          <w:t>13228817#13228817</w:t>
        </w:r>
      </w:hyperlink>
      <w:r>
        <w:rPr>
          <w:rFonts w:ascii="Arial" w:hAnsi="Arial" w:cs="Arial"/>
        </w:rPr>
        <w:t xml:space="preserve"> </w:t>
      </w:r>
    </w:p>
    <w:p w14:paraId="22DC535E" w14:textId="77777777" w:rsidR="00967802" w:rsidRDefault="00967802" w:rsidP="00967802">
      <w:pPr>
        <w:spacing w:after="0" w:line="300" w:lineRule="auto"/>
        <w:jc w:val="both"/>
        <w:rPr>
          <w:rFonts w:ascii="Arial" w:hAnsi="Arial" w:cs="Arial"/>
        </w:rPr>
      </w:pPr>
    </w:p>
    <w:p w14:paraId="64054FC5" w14:textId="0F41595C" w:rsidR="00967802" w:rsidRPr="00967802" w:rsidRDefault="00967802" w:rsidP="00967802">
      <w:pPr>
        <w:spacing w:after="0" w:line="300" w:lineRule="auto"/>
        <w:jc w:val="both"/>
        <w:rPr>
          <w:rFonts w:ascii="Arial" w:hAnsi="Arial" w:cs="Arial"/>
        </w:rPr>
      </w:pPr>
      <w:r w:rsidRPr="00967802">
        <w:rPr>
          <w:rFonts w:ascii="Arial" w:hAnsi="Arial" w:cs="Arial"/>
        </w:rPr>
        <w:t>Projekt jest obecnie jednocześnie na etapie uzgodnień, konsultacji publicznych i opiniowania.</w:t>
      </w:r>
    </w:p>
    <w:p w14:paraId="78F84953" w14:textId="77777777" w:rsidR="00967802" w:rsidRPr="00967802" w:rsidRDefault="00967802" w:rsidP="00967802">
      <w:pPr>
        <w:spacing w:after="0" w:line="300" w:lineRule="auto"/>
        <w:jc w:val="both"/>
        <w:rPr>
          <w:rFonts w:ascii="Arial" w:hAnsi="Arial" w:cs="Arial"/>
        </w:rPr>
      </w:pPr>
    </w:p>
    <w:p w14:paraId="47F5205D" w14:textId="20BD1354" w:rsidR="00967802" w:rsidRPr="00967802" w:rsidRDefault="00967802" w:rsidP="00967802">
      <w:pPr>
        <w:pStyle w:val="Akapitzlist"/>
        <w:numPr>
          <w:ilvl w:val="0"/>
          <w:numId w:val="3"/>
        </w:numPr>
        <w:spacing w:after="0" w:line="300" w:lineRule="auto"/>
        <w:jc w:val="both"/>
        <w:rPr>
          <w:rFonts w:ascii="Arial" w:hAnsi="Arial" w:cs="Arial"/>
          <w:b/>
          <w:bCs/>
          <w:u w:val="single"/>
        </w:rPr>
      </w:pPr>
      <w:r w:rsidRPr="00967802">
        <w:rPr>
          <w:rFonts w:ascii="Arial" w:hAnsi="Arial" w:cs="Arial"/>
          <w:b/>
          <w:bCs/>
          <w:u w:val="single"/>
        </w:rPr>
        <w:t>P</w:t>
      </w:r>
      <w:r w:rsidRPr="00967802">
        <w:rPr>
          <w:rFonts w:ascii="Arial" w:hAnsi="Arial" w:cs="Arial"/>
          <w:b/>
          <w:bCs/>
          <w:u w:val="single"/>
        </w:rPr>
        <w:t>rojekt ustawy o zmianie ustawy o transporcie kolejowym (UD464).</w:t>
      </w:r>
    </w:p>
    <w:p w14:paraId="3B0EB472" w14:textId="77777777" w:rsidR="00967802" w:rsidRPr="00967802" w:rsidRDefault="00967802" w:rsidP="00967802">
      <w:pPr>
        <w:spacing w:after="0" w:line="300" w:lineRule="auto"/>
        <w:jc w:val="both"/>
        <w:rPr>
          <w:rFonts w:ascii="Arial" w:hAnsi="Arial" w:cs="Arial"/>
        </w:rPr>
      </w:pPr>
    </w:p>
    <w:p w14:paraId="56EBC866"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Konieczność zmiany ustawy z dnia 28 marca 2003 r. o transporcie kolejowym (Dz. U. z 2025 r. poz. 1234, z późn. zm.), wynika z potrzeby stworzenia kompleksowych rozwiązań prawnych pozwalających na usprawnienie procesu planowania i realizacji inwestycji w zakresie infrastruktury kolejowej oraz wprowadzenia podstawy prawnej dla stworzenia systemu teleinformatycznego „Generator Informacji Bezpieczeństwa Kolejowego”, zwanego dalej „systemem teleinformatycznym GIBK”. </w:t>
      </w:r>
    </w:p>
    <w:p w14:paraId="2E73DC6E" w14:textId="77777777" w:rsidR="00967802" w:rsidRPr="00967802" w:rsidRDefault="00967802" w:rsidP="00967802">
      <w:pPr>
        <w:spacing w:after="0" w:line="300" w:lineRule="auto"/>
        <w:jc w:val="both"/>
        <w:rPr>
          <w:rFonts w:ascii="Arial" w:hAnsi="Arial" w:cs="Arial"/>
        </w:rPr>
      </w:pPr>
      <w:r w:rsidRPr="00967802">
        <w:rPr>
          <w:rFonts w:ascii="Arial" w:hAnsi="Arial" w:cs="Arial"/>
        </w:rPr>
        <w:t>Intencją zmian wprowadzanych w projekcie ustawy jest w pierwszej kolejności rozszerzenie katalogu podmiotów uprawnionych do złożenia wniosku o ustalenie lokalizacji linii kolejowej o spółki prawa handlowego powołane przez jednostki samorządu terytorialnego w celu realizacji zadań własnych tych jednostek, którym zostały powierzone zadania  z zakresu planowania rozwoju transportu, organizowania publicznego transportu zbiorowego oraz zarządzania publicznym transportem zbiorowym, w tym w zakresie budowy i zarządzania infrastrukturą kolejową, i których wyłącznymi udziałowcami lub akcjonariuszami są jednostki samorządu terytorialnego oraz o PGE Energetyka Kolejowa Operator sp. z o.o., zwaną dalej „PGE EKO”.</w:t>
      </w:r>
    </w:p>
    <w:p w14:paraId="2DDC269A"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Przepisy ustawy z dnia 28 marca 2003 r. o transporcie kolejowym zawarte w rozdziale 2b dotyczące realizacji inwestycji kolejowych stanowią regulacje określające szczególne zasady i warunki przygotowania inwestycji dotyczących linii kolejowych. Proces wnioskowania, uzgadniania oraz skutków wydanej decyzji o ustaleniu lokalizacji linii kolejowej w sposób znaczący odbiega od standardowego trybu postępowania przy wydawaniu decyzji o lokalizacji inwestycji, z tego też względu ustawodawca ograniczył krąg podmiotów posiadających legitymację czynną do występowania z wnioskiem o wydanie tejże decyzji. Zgodnie z aktualnym brzmieniem art. 9o ust. 1 katalog tych podmiotów jest ograniczony do PKP Polskich Linii Kolejowych S.A., Centralnego Portu Komunikacyjnego sp. z o.o. lub właściwej jednostki samorządu terytorialnego. </w:t>
      </w:r>
    </w:p>
    <w:p w14:paraId="71C1B616"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Tak określony katalog podmiotów jest nieadekwatny do aktualnych realiów budowy infrastruktury kolejowej, ponieważ coraz więcej jednostek samorządu terytorialnego powierza zadania zarządcy infrastruktury kolejowej utworzonym w tym celu spółkom. Zatem uzasadnionym jest pogląd, że skoro spółka stanowi jedynie narzędzie do realizacji zadań własnych jednostki samorządu terytorialnego (powołana została do wykonywania zadań </w:t>
      </w:r>
      <w:r w:rsidRPr="00967802">
        <w:rPr>
          <w:rFonts w:ascii="Arial" w:hAnsi="Arial" w:cs="Arial"/>
        </w:rPr>
        <w:lastRenderedPageBreak/>
        <w:t xml:space="preserve">własnych lub zleconych jednostki samorządu terytorialnego), to powinna ona również móc występować w sferze prawa publicznego, w takich stosunkach w których zwyczajnie występowałaby jednostka samorządu terytorialnego, gdyby określonych zadań spółce nie powierzyła. </w:t>
      </w:r>
    </w:p>
    <w:p w14:paraId="2F736986"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Jako przykład podmiotu, który po nowelizacji art. 9o ust. 1 pkt 3 ustawy z dnia 28 marca 2003 r. o transporcie kolejowym (w projektowanym brzmieniu) będzie uprawniony do złożenia wniosku do wojewody o wydanie decyzji o ustaleniu lokalizacji linii kolejowej należy podać Pomorską Kolej Metropolitalną S.A. (aktualnie realizuje powierzone jej przez Województwo Pomorskie oraz Gminę Miasta Gdańska zadania zarządcy infrastruktury kolejowej). </w:t>
      </w:r>
    </w:p>
    <w:p w14:paraId="79A3F326" w14:textId="77777777" w:rsidR="00967802" w:rsidRPr="00967802" w:rsidRDefault="00967802" w:rsidP="00967802">
      <w:pPr>
        <w:spacing w:after="0" w:line="300" w:lineRule="auto"/>
        <w:jc w:val="both"/>
        <w:rPr>
          <w:rFonts w:ascii="Arial" w:hAnsi="Arial" w:cs="Arial"/>
        </w:rPr>
      </w:pPr>
      <w:r w:rsidRPr="00967802">
        <w:rPr>
          <w:rFonts w:ascii="Arial" w:hAnsi="Arial" w:cs="Arial"/>
        </w:rPr>
        <w:t>Projekt przewiduje rozszerzenie katalogu podmiotów uprawnionych do złożenia wniosku o ustalenie lokalizacji linii kolejowej także o PGE EKO w zakresie prac wynikających z realizacji umów zawartych z: PKP PLK S.A., Spółką Celową, o której mowa w art. 2 pkt 10 ustawy z dnia 10 maja 2018 r. o Centralnym Porcie Komunikacyjnym (Dz. U. z 2024 r. poz.   1747, z późn. zm.), lub spółką, o której mowa w art. 15 ust. 1 tej ustawy. Intencją proponowanych zmian jest włączenie PGE EKO do grona podmiotów uprawnionych do złożenia wniosku o wydanie decyzji o ustaleniu lokalizacji linii kolejowej ma na celu przyspieszenie realizacji inwestycji. Włączenie tej spółki do grona podmiotów uprawionych do realizacji inwestycji przyczyni się skrócenia czasu potrzebnego do przygotowania i realizacji inwestycji.</w:t>
      </w:r>
    </w:p>
    <w:p w14:paraId="21B3DEDC"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PGE EKO realizuje zadania wynikające z umów zawieranych z PKP Polskie Linie Kolejowe S.A. oraz Centralnym Portem Komunikacyjnym, obejmujących przyłączanie urządzeń i obiektów kolejowych do sieci dystrybucyjnej. Inwestycje te stanowią integralny element przedsięwzięć kolejowych, a ich realizacja jest warunkiem koniecznym dla zapewnienia zasilania trakcyjnego oraz prawidłowego funkcjonowania infrastruktury transportowej. Lokalizacja obiektów elektroenergetycznych, takich jak podstacje trakcyjne, stacje elektroenergetyczne, linie kablowe i napowietrzne, jest determinowana parametrami technicznymi systemu zasilania, w tym długością odcinków zasilania, wymaganiami napięciowymi oraz koniecznością utrzymania ciągłości pracy urządzeń. Z tego względu obiekty te nie mogą być dowolnie przesuwane w przestrzeni w celu dostosowania ich do ustaleń planów ogólnych lub miejscowych planów zagospodarowania przestrzennego. W aktualnym stanie prawnym prowadzi to do powstawania istotnych barier administracyjnych, w tym konieczności uzyskiwania decyzji lokalizacyjnych w trybie przepisów o planowaniu i zagospodarowaniu przestrzennym, co generuje ryzyko opóźnień i może uniemożliwić terminową realizację umów przyłączeniowych. Wprowadzenie możliwości bezpośredniego stosowania procedury ULLK przez PGE EKO eliminuje konieczność prowadzenia odrębnych postępowań lokalizacyjnych, co pozwala na skrócenie fazy przygotowawczej inwestycji o 6 do 12 miesięcy, a w przypadkach bardziej złożonych – nawet o 12 do 18 miesięcy. Skrócenie to dotyczy etapu pozyskiwania decyzji lokalizacyjnych i umożliwia wcześniejsze przejście do kolejnych faz procesu inwestycyjnego, w tym uzyskiwania decyzji środowiskowych, pozwoleń na budowę oraz realizacji robót budowlanych.  </w:t>
      </w:r>
    </w:p>
    <w:p w14:paraId="0C7960B0"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W konsekwencji proponowana zmiana w tym zakresie przyczynia się do zwiększenia efektywności realizacji inwestycji kolejowych oraz ograniczenia ryzyka opóźnień wynikających z czynników administracyjnych pozostających poza kontrolą inwestora. </w:t>
      </w:r>
    </w:p>
    <w:p w14:paraId="277EED59"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Drugim obszarem regulacji jest wdrożenie systemu teleinformatycznego GIBK, który będzie prowadzony przez Prezesa Urzędu Transportu Kolejowego, zwanego dalej „Prezesem UTK”. </w:t>
      </w:r>
      <w:r w:rsidRPr="00967802">
        <w:rPr>
          <w:rFonts w:ascii="Arial" w:hAnsi="Arial" w:cs="Arial"/>
        </w:rPr>
        <w:lastRenderedPageBreak/>
        <w:t xml:space="preserve">Podmioty dzięki wdrożeniu systemu teleinformatycznego GIBK otrzymają e-usługę w szczególności w zakresie zgłaszania zdarzeń kolejowych. Jednocześnie wraz z narzędziem raportowania zdarzeń system pozwoli, w ramach e-usługi dla komisji kolejowych, na dokumentowanie całej pracy komisji w ramach systemu. Przyspieszy to prace komisji kolejowych i usprawni przekazywanie protokołów ustaleń końcowych do Prezesa UTK. Wprowadzenie systemu teleinformatycznego GIBK przełoży się na skuteczniejsze możliwości monitorowania poziomu bezpieczeństwa transportu kolejowego przez Prezesa UTK. Projekt zakłada utworzenie centralnego systemu raportowania informacji o zdarzeniach kolejowych wyposażonego również w narzędzia analityczne. </w:t>
      </w:r>
    </w:p>
    <w:p w14:paraId="4B6425A8" w14:textId="77777777" w:rsidR="00967802" w:rsidRPr="00967802" w:rsidRDefault="00967802" w:rsidP="00967802">
      <w:pPr>
        <w:spacing w:after="0" w:line="300" w:lineRule="auto"/>
        <w:jc w:val="both"/>
        <w:rPr>
          <w:rFonts w:ascii="Arial" w:hAnsi="Arial" w:cs="Arial"/>
        </w:rPr>
      </w:pPr>
      <w:r w:rsidRPr="00967802">
        <w:rPr>
          <w:rFonts w:ascii="Arial" w:hAnsi="Arial" w:cs="Arial"/>
        </w:rPr>
        <w:t>Wdrożenie systemu teleinformatycznego GIBK pozwoli w wielu przypadkach na odejście od tradycyjnej formy wymiany korespondencji między organem a podmiotami rynku kolejowego, co pozwoli również na ograniczenie działań biurokratycznych jak np. sporządzanie pism, czy przekazywanie materiałów Prezesowi UTK. Co istotne, tylko niewielka część danych wymaga wprowadzenia „ręcznie” do systemu teleinformatycznego GIBK przez podmioty wskazane w ustawie i będzie to zgłoszenie zaistnienia zdarzenia, będące jednocześnie realizacją obowiązku wynikającego z art. 28g ust. 1 ustawy z dnia 28 marca 2003 r. o transporcie kolejowym. Zgłoszenie w systemie teleinformatycznym GIBK zastąpi obecnie funkcjonujące pisemne zawiadomienie o zdarzeniu uregulowane w rozporządzeniu z Ministra Infrastruktury i Budownictwa z dnia 16 marca 2016 r. w sprawie poważnych wypadków, wypadków i incydentów w transporcie kolejowym (Dz. U. poz. 369, z późn. zm.), stanowiąc tym samym odciążenie administracyjne podmiotów i usprawnienie procesu raportowania zdarzeń kolejowych organowi nadzoru. Zdecydowana większość danych objętych obowiązkiem umieszczenia w rejestrze zdarzeń kolejowych będzie wykonywana automatycznie przez system wraz ze sporządzeniem w systemie dokumentów w toku prac komisji kolejowych – protokołu oględzin miejsca wypadku lub incydentu oraz protokołu ustaleń końcowych. Projektowane rozwiązanie znacząco usprawni prace komisji kolejowych. Możliwość raportowania w systemie znacznie przyspieszy proces przekazywania danych, a także zmniejszy obciążenia administracyjne przez zastosowanie odpowiednich interaktywnych formularzy systemowych. Wdrożenie systemu pozwali na bieżącą analizę danych z zakresu bezpieczeństwa kolejowego, co w efekcie przyczyni się do poprawy poziomu bezpieczeństwa kolejowego przez możliwość wyeliminowania ryzyk mających wpływ na bezpieczeństwo.</w:t>
      </w:r>
    </w:p>
    <w:p w14:paraId="5C056BF5"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W celu zapewnienia spójności danych wprowadzanych i przetwarzanych w systemie teleinformatycznym GIBK, dokonano niezbędnych modyfikacji definicji ustawowych (wspólne wskaźniki bezpieczeństwa, postępowanie) oraz dodano niezbędne nowe definicje (sytuacja potencjalnie niebezpieczna, ofiary śmiertelne, ciężko ranni, ranni).  </w:t>
      </w:r>
    </w:p>
    <w:p w14:paraId="570B6C3F"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System teleinformatyczny GIBK będzie stanowił platformę, przez którą będzie możliwe dokonywanie czynności związanych z kontrolą podmiotu kolejowego – od doręczenia pism dotyczących rozpoczęcia kontroli, zgodnie z regułami określonymi w rozdziale V ustawy z dnia 6 marca 2018 r. – Prawo przedsiębiorców (Dz. U. z 2025 r. poz. 1480, z późn. zm.), tj. zawiadomienia o zamiarze wszczęcia kontroli, upoważnienia do kontroli, przez zbieranie materiału dowodowego w trakcie kontroli, aż do zakończenia kontroli w postaci ogłoszenia jej wyników kontrolowanemu przedsiębiorcy, tj. doręczenie protokołu kontroli. GIBK pozwoli również na przekazanie przez przedsiębiorców dowodów na realizację działań naprawczych w związku ze stwierdzeniem ewentualnych nieprawidłowości w trakcie kontroli.   </w:t>
      </w:r>
    </w:p>
    <w:p w14:paraId="6C448959" w14:textId="77777777" w:rsidR="00967802" w:rsidRPr="00967802" w:rsidRDefault="00967802" w:rsidP="00967802">
      <w:pPr>
        <w:spacing w:after="0" w:line="300" w:lineRule="auto"/>
        <w:jc w:val="both"/>
        <w:rPr>
          <w:rFonts w:ascii="Arial" w:hAnsi="Arial" w:cs="Arial"/>
        </w:rPr>
      </w:pPr>
      <w:r w:rsidRPr="00967802">
        <w:rPr>
          <w:rFonts w:ascii="Arial" w:hAnsi="Arial" w:cs="Arial"/>
        </w:rPr>
        <w:lastRenderedPageBreak/>
        <w:t xml:space="preserve">Informatyzacją za pośrednictwem systemu teleinformatycznego GIBK zostanie również objęty całokształt procesu przekazywania, analizy i nadzoru nad realizacją zaleceń Państwowej Komisji Badania Wypadków Kolejowych. </w:t>
      </w:r>
    </w:p>
    <w:p w14:paraId="1C55FAB8" w14:textId="77777777" w:rsidR="00967802" w:rsidRPr="00967802" w:rsidRDefault="00967802" w:rsidP="00967802">
      <w:pPr>
        <w:spacing w:after="0" w:line="300" w:lineRule="auto"/>
        <w:jc w:val="both"/>
        <w:rPr>
          <w:rFonts w:ascii="Arial" w:hAnsi="Arial" w:cs="Arial"/>
        </w:rPr>
      </w:pPr>
      <w:r w:rsidRPr="00967802">
        <w:rPr>
          <w:rFonts w:ascii="Arial" w:hAnsi="Arial" w:cs="Arial"/>
        </w:rPr>
        <w:t>System ten będzie integrował dane z wielu źródeł i rejestrów, umożliwiając ich wielowymiarową analizę przy wykorzystaniu zaawansowanych narzędzi analitycznych wspieranych przez sztuczną inteligencję. System teleinformatyczny GIBK ma na celu zapewnienie kompleksowej cyfryzacji procesów związanych z bezpieczeństwem kolejowym oraz dostarczenie narzędzi do proaktywnego identyfikowania potencjalnych zagrożeń. Wdrożenie tego systemu przyczyni się nie tylko do podniesienia poziomu bezpieczeństwa w transporcie kolejowym przez usprawnienie procesów ale również zapewnieni szybki dostęp do wysokiej jakości informacji dla uczestników rynku kolejowego, z uwzględnieniem odpowiednich uprawnień dostępu dla poszczególnych grup i rodzajów użytkowników.</w:t>
      </w:r>
    </w:p>
    <w:p w14:paraId="2980212A"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Dzięki szerokiej integracji z innymi rejestrami i źródłami danych, system teleinformatyczny GIBK będzie w stanie w pełni wykorzystać narzędzia analityczne, w tym sztuczną inteligencję i uczenie maszynowe. Obszary zastosowań to m.in.: </w:t>
      </w:r>
    </w:p>
    <w:p w14:paraId="33850434" w14:textId="77777777" w:rsidR="00967802" w:rsidRPr="00967802" w:rsidRDefault="00967802" w:rsidP="00967802">
      <w:pPr>
        <w:pStyle w:val="Akapitzlist"/>
        <w:numPr>
          <w:ilvl w:val="0"/>
          <w:numId w:val="9"/>
        </w:numPr>
        <w:spacing w:after="0" w:line="300" w:lineRule="auto"/>
        <w:ind w:left="567" w:hanging="283"/>
        <w:jc w:val="both"/>
        <w:rPr>
          <w:rFonts w:ascii="Arial" w:hAnsi="Arial" w:cs="Arial"/>
        </w:rPr>
      </w:pPr>
      <w:r w:rsidRPr="00967802">
        <w:rPr>
          <w:rFonts w:ascii="Arial" w:hAnsi="Arial" w:cs="Arial"/>
        </w:rPr>
        <w:t xml:space="preserve">wykrywanie anomalii w danych: algorytmy ML, mając dostęp do szczegółowych, zintegrowanych informacji, zdołają wcześniej niż dotychczas rozpoznawać nietypowe wzorce wskazujące na zagrożenia, potencjalne usterki lub naruszenia procedur, </w:t>
      </w:r>
    </w:p>
    <w:p w14:paraId="10FEFE5C" w14:textId="77777777" w:rsidR="00967802" w:rsidRPr="00967802" w:rsidRDefault="00967802" w:rsidP="00967802">
      <w:pPr>
        <w:pStyle w:val="Akapitzlist"/>
        <w:numPr>
          <w:ilvl w:val="0"/>
          <w:numId w:val="9"/>
        </w:numPr>
        <w:spacing w:after="0" w:line="300" w:lineRule="auto"/>
        <w:ind w:left="567" w:hanging="283"/>
        <w:jc w:val="both"/>
        <w:rPr>
          <w:rFonts w:ascii="Arial" w:hAnsi="Arial" w:cs="Arial"/>
        </w:rPr>
      </w:pPr>
      <w:r w:rsidRPr="00967802">
        <w:rPr>
          <w:rFonts w:ascii="Arial" w:hAnsi="Arial" w:cs="Arial"/>
        </w:rPr>
        <w:t xml:space="preserve">proaktywne zarządzanie ryzykiem: korzystając z pełnego pakietu danych, system łatwiej zbuduje modele predykcyjne, wspomagające wskazywanie potencjalnych obszarów problemowych i wcześniejsze wdrażanie działań zapobiegawczych, </w:t>
      </w:r>
    </w:p>
    <w:p w14:paraId="2170BD21" w14:textId="77777777" w:rsidR="00967802" w:rsidRPr="00967802" w:rsidRDefault="00967802" w:rsidP="00967802">
      <w:pPr>
        <w:pStyle w:val="Akapitzlist"/>
        <w:numPr>
          <w:ilvl w:val="0"/>
          <w:numId w:val="9"/>
        </w:numPr>
        <w:spacing w:after="0" w:line="300" w:lineRule="auto"/>
        <w:ind w:left="567" w:hanging="283"/>
        <w:jc w:val="both"/>
        <w:rPr>
          <w:rFonts w:ascii="Arial" w:hAnsi="Arial" w:cs="Arial"/>
        </w:rPr>
      </w:pPr>
      <w:r w:rsidRPr="00967802">
        <w:rPr>
          <w:rFonts w:ascii="Arial" w:hAnsi="Arial" w:cs="Arial"/>
        </w:rPr>
        <w:t xml:space="preserve">optymalizacja procesów kontrolnych: na podstawie połączonych danych z kontroli, zdarzeń, zgłoszeń obywateli i raportów od przewoźników, system będzie w stanie automatycznie sugerować priorytety kontroli, wskazywać na potrzebę dodatkowych szkoleń czy zmian w procedurach.  </w:t>
      </w:r>
    </w:p>
    <w:p w14:paraId="7D146D2E" w14:textId="77777777" w:rsidR="00967802" w:rsidRPr="00967802" w:rsidRDefault="00967802" w:rsidP="00967802">
      <w:pPr>
        <w:spacing w:after="0" w:line="300" w:lineRule="auto"/>
        <w:jc w:val="both"/>
        <w:rPr>
          <w:rFonts w:ascii="Arial" w:hAnsi="Arial" w:cs="Arial"/>
        </w:rPr>
      </w:pPr>
      <w:r w:rsidRPr="00967802">
        <w:rPr>
          <w:rFonts w:ascii="Arial" w:hAnsi="Arial" w:cs="Arial"/>
        </w:rPr>
        <w:t>Należy podkreślić, że dla modułu rejestracji zdarzeń kolejowych określono blisko 400 encji danych, które będą służyły analizie zdarzeń kolejowych i monitorowaniu wskaźników. Obecnie dane te są zbierane w protokołach „Ustaleń Końcowych” i nie posiadają odzwierciedlenia elektronicznego w danych pozwalających na ich automatyczną analizę.</w:t>
      </w:r>
    </w:p>
    <w:p w14:paraId="13AD87E2"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Procedowane zmiany ustawy z dnia 28 marca 2003 r. o transporcie kolejowym mają na celu: </w:t>
      </w:r>
    </w:p>
    <w:p w14:paraId="03429A7C" w14:textId="77777777" w:rsidR="00967802" w:rsidRPr="00967802" w:rsidRDefault="00967802" w:rsidP="00967802">
      <w:pPr>
        <w:pStyle w:val="Akapitzlist"/>
        <w:numPr>
          <w:ilvl w:val="0"/>
          <w:numId w:val="11"/>
        </w:numPr>
        <w:spacing w:after="0" w:line="300" w:lineRule="auto"/>
        <w:ind w:left="567" w:hanging="283"/>
        <w:jc w:val="both"/>
        <w:rPr>
          <w:rFonts w:ascii="Arial" w:hAnsi="Arial" w:cs="Arial"/>
        </w:rPr>
      </w:pPr>
      <w:r w:rsidRPr="00967802">
        <w:rPr>
          <w:rFonts w:ascii="Arial" w:hAnsi="Arial" w:cs="Arial"/>
        </w:rPr>
        <w:t xml:space="preserve">usprawnienie procesu planowania i realizacji inwestycji w zakresie infrastruktury kolejowej, </w:t>
      </w:r>
    </w:p>
    <w:p w14:paraId="2D2D2F0F" w14:textId="77777777" w:rsidR="00967802" w:rsidRPr="00967802" w:rsidRDefault="00967802" w:rsidP="00967802">
      <w:pPr>
        <w:pStyle w:val="Akapitzlist"/>
        <w:numPr>
          <w:ilvl w:val="0"/>
          <w:numId w:val="11"/>
        </w:numPr>
        <w:spacing w:after="0" w:line="300" w:lineRule="auto"/>
        <w:ind w:left="567" w:hanging="283"/>
        <w:jc w:val="both"/>
        <w:rPr>
          <w:rFonts w:ascii="Arial" w:hAnsi="Arial" w:cs="Arial"/>
        </w:rPr>
      </w:pPr>
      <w:r w:rsidRPr="00967802">
        <w:rPr>
          <w:rFonts w:ascii="Arial" w:hAnsi="Arial" w:cs="Arial"/>
        </w:rPr>
        <w:t xml:space="preserve">wprowadzenie podstawy prawnej dla stworzenia systemu teleinformatycznego GIBK </w:t>
      </w:r>
    </w:p>
    <w:p w14:paraId="39732C24"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i polegają na: </w:t>
      </w:r>
    </w:p>
    <w:p w14:paraId="12713BD2" w14:textId="77777777" w:rsidR="00967802" w:rsidRPr="00967802" w:rsidRDefault="00967802" w:rsidP="00967802">
      <w:pPr>
        <w:pStyle w:val="Akapitzlist"/>
        <w:numPr>
          <w:ilvl w:val="0"/>
          <w:numId w:val="10"/>
        </w:numPr>
        <w:spacing w:after="0" w:line="300" w:lineRule="auto"/>
        <w:ind w:left="567" w:hanging="283"/>
        <w:jc w:val="both"/>
        <w:rPr>
          <w:rFonts w:ascii="Arial" w:hAnsi="Arial" w:cs="Arial"/>
        </w:rPr>
      </w:pPr>
      <w:r w:rsidRPr="00967802">
        <w:rPr>
          <w:rFonts w:ascii="Arial" w:hAnsi="Arial" w:cs="Arial"/>
        </w:rPr>
        <w:t xml:space="preserve">zmianie brzmienia art. 9o ust. 1 pkt 3 i dodaniu pkt 4 przez rozszerzenie katalogu podmiotów uprawnionych do złożenia wniosku o ustalenie lokalizacji linii kolejowej o spółki prawa handlowego utworzone przez jednostki samorządu terytorialnego w celu realizacji zadań własnych tych jednostek, którym zostały powierzone zadania z zakresu planowania rozwoju transportu, organizowania publicznego transportu zbiorowego lub zarządzania publicznym transportem zbiorowym, w zakresie budowy i zarządzania infrastrukturą kolejową i których wyłącznymi udziałowcami lub akcjonariuszami są jednostki samorządu terytorialnego oraz PGE EKO., </w:t>
      </w:r>
    </w:p>
    <w:p w14:paraId="1D10997E" w14:textId="77777777" w:rsidR="00967802" w:rsidRPr="00967802" w:rsidRDefault="00967802" w:rsidP="00967802">
      <w:pPr>
        <w:pStyle w:val="Akapitzlist"/>
        <w:numPr>
          <w:ilvl w:val="0"/>
          <w:numId w:val="10"/>
        </w:numPr>
        <w:spacing w:after="0" w:line="300" w:lineRule="auto"/>
        <w:ind w:left="567" w:hanging="283"/>
        <w:jc w:val="both"/>
        <w:rPr>
          <w:rFonts w:ascii="Arial" w:hAnsi="Arial" w:cs="Arial"/>
        </w:rPr>
      </w:pPr>
      <w:r w:rsidRPr="00967802">
        <w:rPr>
          <w:rFonts w:ascii="Arial" w:hAnsi="Arial" w:cs="Arial"/>
        </w:rPr>
        <w:lastRenderedPageBreak/>
        <w:t xml:space="preserve">zmianach w art. 9o–9ag o charakterze wynikowym będących konsekwencją zaproponowanej nowelizacji art. 9o ust. 1 pkt 3 i 4 mającej na celu usprawnienie procesu inwestycji istotnych dla właściwego funkcjonowania transportu kolejowego, </w:t>
      </w:r>
    </w:p>
    <w:p w14:paraId="20DD4513" w14:textId="77777777" w:rsidR="00967802" w:rsidRPr="00967802" w:rsidRDefault="00967802" w:rsidP="00967802">
      <w:pPr>
        <w:pStyle w:val="Akapitzlist"/>
        <w:numPr>
          <w:ilvl w:val="0"/>
          <w:numId w:val="10"/>
        </w:numPr>
        <w:spacing w:after="0" w:line="300" w:lineRule="auto"/>
        <w:ind w:left="567" w:hanging="283"/>
        <w:jc w:val="both"/>
        <w:rPr>
          <w:rFonts w:ascii="Arial" w:hAnsi="Arial" w:cs="Arial"/>
        </w:rPr>
      </w:pPr>
      <w:r w:rsidRPr="00967802">
        <w:rPr>
          <w:rFonts w:ascii="Arial" w:hAnsi="Arial" w:cs="Arial"/>
        </w:rPr>
        <w:t xml:space="preserve">dodaniu regulacji dotyczących systemu teleinformatycznego GIBK, który będzie prowadzony przez Prezesa UTK; wprowadzany system teleinformatyczny GIBK przełoży się  na skuteczniejsze monitorowanie poziomu bezpieczeństwa transportu kolejowego przez Prezesa UTK, </w:t>
      </w:r>
    </w:p>
    <w:p w14:paraId="63AFBC9F" w14:textId="77777777" w:rsidR="00967802" w:rsidRPr="00967802" w:rsidRDefault="00967802" w:rsidP="00967802">
      <w:pPr>
        <w:pStyle w:val="Akapitzlist"/>
        <w:numPr>
          <w:ilvl w:val="0"/>
          <w:numId w:val="10"/>
        </w:numPr>
        <w:spacing w:after="0" w:line="300" w:lineRule="auto"/>
        <w:ind w:left="567" w:hanging="283"/>
        <w:jc w:val="both"/>
        <w:rPr>
          <w:rFonts w:ascii="Arial" w:hAnsi="Arial" w:cs="Arial"/>
        </w:rPr>
      </w:pPr>
      <w:r w:rsidRPr="00967802">
        <w:rPr>
          <w:rFonts w:ascii="Arial" w:hAnsi="Arial" w:cs="Arial"/>
        </w:rPr>
        <w:t xml:space="preserve">określeniu katalogu informacji gromadzonych w rejestrze zdarzeń kolejowych,  który ma być prowadzony w systemie teleinformatycznym GIBK, </w:t>
      </w:r>
    </w:p>
    <w:p w14:paraId="67E40DFB" w14:textId="77777777" w:rsidR="00967802" w:rsidRPr="00967802" w:rsidRDefault="00967802" w:rsidP="00967802">
      <w:pPr>
        <w:pStyle w:val="Akapitzlist"/>
        <w:numPr>
          <w:ilvl w:val="0"/>
          <w:numId w:val="10"/>
        </w:numPr>
        <w:spacing w:after="0" w:line="300" w:lineRule="auto"/>
        <w:ind w:left="567" w:hanging="283"/>
        <w:jc w:val="both"/>
        <w:rPr>
          <w:rFonts w:ascii="Arial" w:hAnsi="Arial" w:cs="Arial"/>
        </w:rPr>
      </w:pPr>
      <w:r w:rsidRPr="00967802">
        <w:rPr>
          <w:rFonts w:ascii="Arial" w:hAnsi="Arial" w:cs="Arial"/>
        </w:rPr>
        <w:t xml:space="preserve">wskazaniu podmiotów obowiązanych do wprowadzenia danych do systemu teleinformatycznego GIBK, </w:t>
      </w:r>
    </w:p>
    <w:p w14:paraId="32F93771" w14:textId="77777777" w:rsidR="00967802" w:rsidRPr="00967802" w:rsidRDefault="00967802" w:rsidP="00967802">
      <w:pPr>
        <w:pStyle w:val="Akapitzlist"/>
        <w:numPr>
          <w:ilvl w:val="0"/>
          <w:numId w:val="10"/>
        </w:numPr>
        <w:spacing w:after="0" w:line="300" w:lineRule="auto"/>
        <w:ind w:left="567" w:hanging="283"/>
        <w:jc w:val="both"/>
        <w:rPr>
          <w:rFonts w:ascii="Arial" w:hAnsi="Arial" w:cs="Arial"/>
        </w:rPr>
      </w:pPr>
      <w:r w:rsidRPr="00967802">
        <w:rPr>
          <w:rFonts w:ascii="Arial" w:hAnsi="Arial" w:cs="Arial"/>
        </w:rPr>
        <w:t xml:space="preserve">wprowadzeniu regulacji, w zakresie przetwarzania danych osobowych w systemie teleinformatycznym GIBK, w  szczególności zawarte zostaną regulacje w zakresie  maksymalnego czasu przechowywania danych osobowych, sposobu uzgadniania przez współadministratorów systemu teleinformatycznego GIBK wykonywania przez nich obowiązków wynikających z przepisów o ochronie danych osobowych, wymagań technicznych i organizacyjnych dotyczących wymiany informacji niezbędnych do  realizacji obowiązków określonych w ustawie  oraz zasad odpowiedzialności za naruszenie przepisów o ochronie danych osobowych, </w:t>
      </w:r>
    </w:p>
    <w:p w14:paraId="1DD0BB0D" w14:textId="77777777" w:rsidR="00967802" w:rsidRPr="00967802" w:rsidRDefault="00967802" w:rsidP="00967802">
      <w:pPr>
        <w:pStyle w:val="Akapitzlist"/>
        <w:numPr>
          <w:ilvl w:val="0"/>
          <w:numId w:val="10"/>
        </w:numPr>
        <w:spacing w:after="0" w:line="300" w:lineRule="auto"/>
        <w:ind w:left="567" w:hanging="283"/>
        <w:jc w:val="both"/>
        <w:rPr>
          <w:rFonts w:ascii="Arial" w:hAnsi="Arial" w:cs="Arial"/>
        </w:rPr>
      </w:pPr>
      <w:r w:rsidRPr="00967802">
        <w:rPr>
          <w:rFonts w:ascii="Arial" w:hAnsi="Arial" w:cs="Arial"/>
        </w:rPr>
        <w:t xml:space="preserve">dokonaniu modyfikacji definicji ustawowych (wspólne wskaźniki bezpieczeństwa, postępowanie) oraz dodaniu nowych definicji (sytuacja potencjalnie niebezpieczna, ofiary śmiertelne, ciężko ranni, ranni). </w:t>
      </w:r>
    </w:p>
    <w:p w14:paraId="39269257" w14:textId="6BA4A2C2" w:rsidR="00967802" w:rsidRDefault="00967802" w:rsidP="00967802">
      <w:pPr>
        <w:spacing w:after="0" w:line="300" w:lineRule="auto"/>
        <w:jc w:val="both"/>
        <w:rPr>
          <w:rFonts w:ascii="Arial" w:hAnsi="Arial" w:cs="Arial"/>
        </w:rPr>
      </w:pPr>
      <w:r w:rsidRPr="00967802">
        <w:rPr>
          <w:rFonts w:ascii="Arial" w:hAnsi="Arial" w:cs="Arial"/>
        </w:rPr>
        <w:t>Nie ma możliwości osiągnięcia celu projektu za pomocą innych środków niż zmiana ustawy z dnia 28 marca 2003 r. o transporcie kolejowym.</w:t>
      </w:r>
    </w:p>
    <w:p w14:paraId="61F66DA9" w14:textId="77777777" w:rsidR="00967802" w:rsidRDefault="00967802" w:rsidP="00967802">
      <w:pPr>
        <w:spacing w:after="0" w:line="300" w:lineRule="auto"/>
        <w:jc w:val="both"/>
        <w:rPr>
          <w:rFonts w:ascii="Arial" w:hAnsi="Arial" w:cs="Arial"/>
        </w:rPr>
      </w:pPr>
    </w:p>
    <w:p w14:paraId="7290E110" w14:textId="77777777" w:rsidR="00967802" w:rsidRPr="00967802" w:rsidRDefault="00967802" w:rsidP="00967802">
      <w:pPr>
        <w:spacing w:after="0" w:line="300" w:lineRule="auto"/>
        <w:jc w:val="both"/>
        <w:rPr>
          <w:rFonts w:ascii="Arial" w:hAnsi="Arial" w:cs="Arial"/>
        </w:rPr>
      </w:pPr>
      <w:r w:rsidRPr="00967802">
        <w:rPr>
          <w:rFonts w:ascii="Arial" w:hAnsi="Arial" w:cs="Arial"/>
        </w:rPr>
        <w:t xml:space="preserve">Przedmiotowy projekt aktu prawnego wraz z Uzasadnieniem oraz Oceną Skutków Regulacji dostępny jest na stronach Rządowego Centrum Legislacji pod adresem: </w:t>
      </w:r>
    </w:p>
    <w:p w14:paraId="52037606" w14:textId="43CE1497" w:rsidR="00967802" w:rsidRPr="00967802" w:rsidRDefault="00967802" w:rsidP="00967802">
      <w:pPr>
        <w:spacing w:after="0" w:line="300" w:lineRule="auto"/>
        <w:jc w:val="both"/>
        <w:rPr>
          <w:rFonts w:ascii="Arial" w:hAnsi="Arial" w:cs="Arial"/>
        </w:rPr>
      </w:pPr>
      <w:hyperlink r:id="rId7" w:history="1">
        <w:r w:rsidRPr="00627031">
          <w:rPr>
            <w:rStyle w:val="Hipercze"/>
            <w:rFonts w:ascii="Arial" w:hAnsi="Arial" w:cs="Arial"/>
          </w:rPr>
          <w:t>https://legislacja.rcl.gov.pl/projekt/124152</w:t>
        </w:r>
        <w:r w:rsidRPr="00627031">
          <w:rPr>
            <w:rStyle w:val="Hipercze"/>
            <w:rFonts w:ascii="Arial" w:hAnsi="Arial" w:cs="Arial"/>
          </w:rPr>
          <w:t>0</w:t>
        </w:r>
        <w:r w:rsidRPr="00627031">
          <w:rPr>
            <w:rStyle w:val="Hipercze"/>
            <w:rFonts w:ascii="Arial" w:hAnsi="Arial" w:cs="Arial"/>
          </w:rPr>
          <w:t>0/katalog/13229008#13229008</w:t>
        </w:r>
      </w:hyperlink>
      <w:r>
        <w:rPr>
          <w:rFonts w:ascii="Arial" w:hAnsi="Arial" w:cs="Arial"/>
        </w:rPr>
        <w:t xml:space="preserve"> </w:t>
      </w:r>
    </w:p>
    <w:p w14:paraId="11D9E522" w14:textId="77777777" w:rsidR="00967802" w:rsidRDefault="00967802" w:rsidP="00967802">
      <w:pPr>
        <w:spacing w:after="0" w:line="300" w:lineRule="auto"/>
        <w:jc w:val="both"/>
        <w:rPr>
          <w:rFonts w:ascii="Arial" w:hAnsi="Arial" w:cs="Arial"/>
        </w:rPr>
      </w:pPr>
    </w:p>
    <w:p w14:paraId="57BA5256" w14:textId="499E0704" w:rsidR="00967802" w:rsidRDefault="00967802" w:rsidP="00967802">
      <w:pPr>
        <w:spacing w:after="0" w:line="300" w:lineRule="auto"/>
        <w:jc w:val="both"/>
        <w:rPr>
          <w:rFonts w:ascii="Arial" w:hAnsi="Arial" w:cs="Arial"/>
        </w:rPr>
      </w:pPr>
      <w:r w:rsidRPr="00967802">
        <w:rPr>
          <w:rFonts w:ascii="Arial" w:hAnsi="Arial" w:cs="Arial"/>
        </w:rPr>
        <w:t>Projekt jest obecnie jednocześnie na etapie uzgodnień, konsultacji publicznych i opiniowania.</w:t>
      </w:r>
    </w:p>
    <w:p w14:paraId="6714B6B7" w14:textId="77777777" w:rsidR="00967802" w:rsidRPr="00967802" w:rsidRDefault="00967802" w:rsidP="00967802">
      <w:pPr>
        <w:spacing w:after="0" w:line="300" w:lineRule="auto"/>
        <w:jc w:val="both"/>
        <w:rPr>
          <w:rFonts w:ascii="Arial" w:hAnsi="Arial" w:cs="Arial"/>
        </w:rPr>
      </w:pPr>
    </w:p>
    <w:p w14:paraId="45A97259" w14:textId="11856243" w:rsidR="00967802" w:rsidRPr="00285722" w:rsidRDefault="00285722" w:rsidP="000077C7">
      <w:pPr>
        <w:pStyle w:val="Akapitzlist"/>
        <w:numPr>
          <w:ilvl w:val="0"/>
          <w:numId w:val="3"/>
        </w:numPr>
        <w:spacing w:after="0" w:line="300" w:lineRule="auto"/>
        <w:jc w:val="both"/>
        <w:rPr>
          <w:rFonts w:ascii="Arial" w:hAnsi="Arial" w:cs="Arial"/>
          <w:b/>
          <w:bCs/>
          <w:u w:val="single"/>
        </w:rPr>
      </w:pPr>
      <w:r w:rsidRPr="00285722">
        <w:rPr>
          <w:rFonts w:ascii="Arial" w:hAnsi="Arial" w:cs="Arial"/>
          <w:b/>
          <w:bCs/>
          <w:u w:val="single"/>
        </w:rPr>
        <w:t>P</w:t>
      </w:r>
      <w:r w:rsidRPr="00285722">
        <w:rPr>
          <w:rFonts w:ascii="Arial" w:hAnsi="Arial" w:cs="Arial"/>
          <w:b/>
          <w:bCs/>
          <w:u w:val="single"/>
        </w:rPr>
        <w:t>rojekt ustawy o zmianie ustawy – Prawo ochrony środowiska oraz ustawy o planowaniu i zagospodarowaniu przestrzennym w związku z podnoszeniem poziomu bezpieczeństwa i ochrony przed skutkami poważnych awarii przemysłowych (UC146).</w:t>
      </w:r>
    </w:p>
    <w:p w14:paraId="3183894B" w14:textId="77777777" w:rsidR="00967802" w:rsidRPr="00285722" w:rsidRDefault="00967802" w:rsidP="00285722">
      <w:pPr>
        <w:spacing w:after="0" w:line="300" w:lineRule="auto"/>
        <w:jc w:val="both"/>
        <w:rPr>
          <w:rFonts w:ascii="Arial" w:hAnsi="Arial" w:cs="Arial"/>
        </w:rPr>
      </w:pPr>
    </w:p>
    <w:p w14:paraId="65A00D9E" w14:textId="77777777" w:rsidR="00285722" w:rsidRPr="00285722" w:rsidRDefault="00285722" w:rsidP="00285722">
      <w:pPr>
        <w:spacing w:after="0" w:line="300" w:lineRule="auto"/>
        <w:jc w:val="both"/>
        <w:rPr>
          <w:rFonts w:ascii="Arial" w:hAnsi="Arial" w:cs="Arial"/>
        </w:rPr>
      </w:pPr>
      <w:r w:rsidRPr="00285722">
        <w:rPr>
          <w:rFonts w:ascii="Arial" w:hAnsi="Arial" w:cs="Arial"/>
        </w:rPr>
        <w:t>Dyrektywa Parlamentu Europejskiego i Rady 2012/18/UE z dnia 4 lipca 2012 r. w sprawie kontroli zagrożeń poważnymi awariami związanymi z substancjami niebezpiecznymi, zmieniająca, a następnie uchylająca dyrektywę Rady 96/82/WE - (dalej jako „dyrektywa Seveso III”), ma na celu zapewnienie wysokiego poziomu ochrony ludzi i środowiska przez wdrożenie w państwach członkowskich Unii Europejskiej (dalej jako „P.Cz.”) odpowiednich systemów i procedur służących zarządzaniu zagrożeniami poważnymi awariami przemysłowymi związanymi z substancjami niebezpiecznymi oraz kontroli tych zagrożeń.</w:t>
      </w:r>
    </w:p>
    <w:p w14:paraId="48374C27" w14:textId="77777777" w:rsidR="00285722" w:rsidRPr="00285722" w:rsidRDefault="00285722" w:rsidP="00285722">
      <w:pPr>
        <w:spacing w:after="0" w:line="300" w:lineRule="auto"/>
        <w:jc w:val="both"/>
        <w:rPr>
          <w:rFonts w:ascii="Arial" w:hAnsi="Arial" w:cs="Arial"/>
        </w:rPr>
      </w:pPr>
      <w:r w:rsidRPr="00285722">
        <w:rPr>
          <w:rFonts w:ascii="Arial" w:hAnsi="Arial" w:cs="Arial"/>
        </w:rPr>
        <w:lastRenderedPageBreak/>
        <w:t>Polska przekazała zgłoszenie dokonania pełnej transpozycji dyrektywy Seveso III w dniu 22 września 2015 r.</w:t>
      </w:r>
    </w:p>
    <w:p w14:paraId="0C714146" w14:textId="77777777" w:rsidR="00285722" w:rsidRPr="00285722" w:rsidRDefault="00285722" w:rsidP="00285722">
      <w:pPr>
        <w:spacing w:after="0" w:line="300" w:lineRule="auto"/>
        <w:jc w:val="both"/>
        <w:rPr>
          <w:rFonts w:ascii="Arial" w:hAnsi="Arial" w:cs="Arial"/>
        </w:rPr>
      </w:pPr>
      <w:r w:rsidRPr="00285722">
        <w:rPr>
          <w:rFonts w:ascii="Arial" w:hAnsi="Arial" w:cs="Arial"/>
        </w:rPr>
        <w:t xml:space="preserve">W dniu 9 czerwca 2021 r. Komisja Europejska (dalej jako „KE”) wystosowała do Polski wezwanie do usunięcia uchybienia (dalej jako „naruszenie nr 2021/2067”), w którym przedstawiła szereg zastrzeżeń co do sposobu transpozycji dyrektywy Seveso III do prawa krajowego. Po zapoznaniu się z odpowiedzią władz polskich udzieloną w dniu 6 sierpnia 2021 r., KE część wyjaśnień uznała za wystarczające i odstąpiła od pierwotnych zarzutów, a w przypadku części niezgodności podtrzymała swoje stanowisko i ponownie wezwała do ich usunięcia (uzasadniona opinia KE z dnia 16 grudnia 2024 r.). </w:t>
      </w:r>
    </w:p>
    <w:p w14:paraId="6FE1CA62" w14:textId="77777777" w:rsidR="00285722" w:rsidRPr="00285722" w:rsidRDefault="00285722" w:rsidP="00285722">
      <w:pPr>
        <w:spacing w:after="0" w:line="300" w:lineRule="auto"/>
        <w:jc w:val="both"/>
        <w:rPr>
          <w:rFonts w:ascii="Arial" w:hAnsi="Arial" w:cs="Arial"/>
        </w:rPr>
      </w:pPr>
      <w:r w:rsidRPr="00285722">
        <w:rPr>
          <w:rFonts w:ascii="Arial" w:hAnsi="Arial" w:cs="Arial"/>
        </w:rPr>
        <w:t>W ww. opinii sformułowano 17 zarzutów dotyczących nieprawidłowej transpozycji lub braku transpozycji przepisów dyrektywy Seveso III w następujących obszarach:</w:t>
      </w:r>
    </w:p>
    <w:p w14:paraId="441DF508" w14:textId="77777777" w:rsidR="00285722" w:rsidRPr="00285722" w:rsidRDefault="00285722" w:rsidP="00285722">
      <w:pPr>
        <w:pStyle w:val="Akapitzlist"/>
        <w:numPr>
          <w:ilvl w:val="0"/>
          <w:numId w:val="13"/>
        </w:numPr>
        <w:spacing w:after="0" w:line="300" w:lineRule="auto"/>
        <w:ind w:left="567" w:hanging="283"/>
        <w:jc w:val="both"/>
        <w:rPr>
          <w:rFonts w:ascii="Arial" w:hAnsi="Arial" w:cs="Arial"/>
        </w:rPr>
      </w:pPr>
      <w:r w:rsidRPr="00285722">
        <w:rPr>
          <w:rFonts w:ascii="Arial" w:hAnsi="Arial" w:cs="Arial"/>
        </w:rPr>
        <w:t>raport o bezpieczeństwie zakładów o dużym ryzyku wystąpienia poważnej awarii: brak uwzględnienia w  przepisach transponujących, że sporządza się go m.in. w celu wykazania, iż eksploatacja instalacji uwzględnia odpowiednie bezpieczeństwo i niezawodność; brak sprecyzowania, że udostępniane nietechniczne podsumowanie powinno zawierać co najmniej ogólne informacje dotyczące zagrożeń poważnymi awariami przemysłowymi oraz potencjalnych skutków dla zdrowia ludzkiego i środowiska w przypadku poważnej awarii przemysłowej;</w:t>
      </w:r>
    </w:p>
    <w:p w14:paraId="4C4E0F3E" w14:textId="77777777" w:rsidR="00285722" w:rsidRPr="00285722" w:rsidRDefault="00285722" w:rsidP="00285722">
      <w:pPr>
        <w:pStyle w:val="Akapitzlist"/>
        <w:numPr>
          <w:ilvl w:val="0"/>
          <w:numId w:val="13"/>
        </w:numPr>
        <w:spacing w:after="0" w:line="300" w:lineRule="auto"/>
        <w:ind w:left="567" w:hanging="283"/>
        <w:jc w:val="both"/>
        <w:rPr>
          <w:rFonts w:ascii="Arial" w:hAnsi="Arial" w:cs="Arial"/>
        </w:rPr>
      </w:pPr>
      <w:r w:rsidRPr="00285722">
        <w:rPr>
          <w:rFonts w:ascii="Arial" w:hAnsi="Arial" w:cs="Arial"/>
        </w:rPr>
        <w:t>planowanie i zagospodarowanie przestrzenne: brak wskazania, że w przypadku istniejących zakładów uwzględnia się wymóg wprowadzenia dodatkowych środków technicznych, aby nie zwiększać ryzyka dla środowiska (a nie tylko dla zdrowia ludzkiego);</w:t>
      </w:r>
    </w:p>
    <w:p w14:paraId="69ABA778" w14:textId="77777777" w:rsidR="00285722" w:rsidRPr="00285722" w:rsidRDefault="00285722" w:rsidP="00285722">
      <w:pPr>
        <w:pStyle w:val="Akapitzlist"/>
        <w:numPr>
          <w:ilvl w:val="0"/>
          <w:numId w:val="13"/>
        </w:numPr>
        <w:spacing w:after="0" w:line="300" w:lineRule="auto"/>
        <w:ind w:left="567" w:hanging="283"/>
        <w:jc w:val="both"/>
        <w:rPr>
          <w:rFonts w:ascii="Arial" w:hAnsi="Arial" w:cs="Arial"/>
        </w:rPr>
      </w:pPr>
      <w:r w:rsidRPr="00285722">
        <w:rPr>
          <w:rFonts w:ascii="Arial" w:hAnsi="Arial" w:cs="Arial"/>
        </w:rPr>
        <w:t xml:space="preserve">wymiana informacji z innymi P.Cz.: brak wymogu informowania P.Cz. o swojej decyzji i przesłankach jej podjęcia w przypadku niesporządzenia zewnętrznego planu operacyjno-ratowniczego, a także brak uwzględnienia obowiązku konsultacji między P.Cz.; </w:t>
      </w:r>
    </w:p>
    <w:p w14:paraId="7944A0A6" w14:textId="77777777" w:rsidR="00285722" w:rsidRPr="00285722" w:rsidRDefault="00285722" w:rsidP="00285722">
      <w:pPr>
        <w:pStyle w:val="Akapitzlist"/>
        <w:numPr>
          <w:ilvl w:val="0"/>
          <w:numId w:val="13"/>
        </w:numPr>
        <w:spacing w:after="0" w:line="300" w:lineRule="auto"/>
        <w:ind w:left="567" w:hanging="283"/>
        <w:jc w:val="both"/>
        <w:rPr>
          <w:rFonts w:ascii="Arial" w:hAnsi="Arial" w:cs="Arial"/>
        </w:rPr>
      </w:pPr>
      <w:r w:rsidRPr="00285722">
        <w:rPr>
          <w:rFonts w:ascii="Arial" w:hAnsi="Arial" w:cs="Arial"/>
        </w:rPr>
        <w:t>zadania organów właściwych w przypadku wystąpienia poważnej awarii przemysłowej: brak uwzględnienia potrzeby informowania narażonej osoby, w odpowiednich przypadkach, o środkach podjętych w celu zmniejszenia skutków awarii; brak możliwości nałożenia na prowadzącego zakład obowiązku przedłożenia właściwym organom zmienionego (anonimowego, zredagowanego) raportu o bezpieczeństwie lub wykazu substancji niebezpiecznych, jeśli organy te uznają, że niektóre części ww. dokumentów nie podlegają udostępnieniu;</w:t>
      </w:r>
    </w:p>
    <w:p w14:paraId="58D3FC62" w14:textId="77777777" w:rsidR="00285722" w:rsidRPr="00285722" w:rsidRDefault="00285722" w:rsidP="00285722">
      <w:pPr>
        <w:pStyle w:val="Akapitzlist"/>
        <w:numPr>
          <w:ilvl w:val="0"/>
          <w:numId w:val="13"/>
        </w:numPr>
        <w:spacing w:after="0" w:line="300" w:lineRule="auto"/>
        <w:ind w:left="567" w:hanging="283"/>
        <w:jc w:val="both"/>
        <w:rPr>
          <w:rFonts w:ascii="Arial" w:hAnsi="Arial" w:cs="Arial"/>
        </w:rPr>
      </w:pPr>
      <w:r w:rsidRPr="00285722">
        <w:rPr>
          <w:rFonts w:ascii="Arial" w:hAnsi="Arial" w:cs="Arial"/>
        </w:rPr>
        <w:t>system zarządzania bezpieczeństwem: brak obowiązku dla prowadzącego zakład przyjęcia i wdrożenia odpowiednich procedur, mechanizmów i systemów oceny, badania, podejmowania działań naprawczych i sprawozdawczości w przypadku poważnych awarii przemysłowych lub sytuacji bliskich awariom; brak obowiązku odniesienia do uwzględnienia i wdrożenia niezbędnych zmian określonych w audycie i przeglądzie;</w:t>
      </w:r>
    </w:p>
    <w:p w14:paraId="57863403" w14:textId="77777777" w:rsidR="00285722" w:rsidRPr="00285722" w:rsidRDefault="00285722" w:rsidP="00285722">
      <w:pPr>
        <w:pStyle w:val="Akapitzlist"/>
        <w:numPr>
          <w:ilvl w:val="0"/>
          <w:numId w:val="13"/>
        </w:numPr>
        <w:spacing w:after="0" w:line="300" w:lineRule="auto"/>
        <w:ind w:left="567" w:hanging="283"/>
        <w:jc w:val="both"/>
        <w:rPr>
          <w:rFonts w:ascii="Arial" w:hAnsi="Arial" w:cs="Arial"/>
        </w:rPr>
      </w:pPr>
      <w:r w:rsidRPr="00285722">
        <w:rPr>
          <w:rFonts w:ascii="Arial" w:hAnsi="Arial" w:cs="Arial"/>
        </w:rPr>
        <w:t xml:space="preserve">wewnętrzne i zewnętrzne plany operacyjno-ratownicze: brak wymogu planowania pewnych działań w przypadku przewidywalnych warunków lub zdarzeń, które mogą spowodować poważną awarię przemysłową, zanim taka awaria wystąpi; brak wymogu wyraźnego odniesienia do rodzaju informacji, które należy uwzględnić we wczesnych ostrzeżeniach oraz do udzielania bardziej szczegółowych informacji w miarę ich </w:t>
      </w:r>
      <w:r w:rsidRPr="00285722">
        <w:rPr>
          <w:rFonts w:ascii="Arial" w:hAnsi="Arial" w:cs="Arial"/>
        </w:rPr>
        <w:lastRenderedPageBreak/>
        <w:t>dostępności; brak obowiązku odniesienia się do sposobu, w jaki należy się zachowywać w czasie awarii;</w:t>
      </w:r>
    </w:p>
    <w:p w14:paraId="52862CF5" w14:textId="77777777" w:rsidR="00285722" w:rsidRPr="00285722" w:rsidRDefault="00285722" w:rsidP="00285722">
      <w:pPr>
        <w:pStyle w:val="Akapitzlist"/>
        <w:numPr>
          <w:ilvl w:val="0"/>
          <w:numId w:val="13"/>
        </w:numPr>
        <w:spacing w:after="0" w:line="300" w:lineRule="auto"/>
        <w:ind w:left="567" w:hanging="283"/>
        <w:jc w:val="both"/>
        <w:rPr>
          <w:rFonts w:ascii="Arial" w:hAnsi="Arial" w:cs="Arial"/>
        </w:rPr>
      </w:pPr>
      <w:r w:rsidRPr="00285722">
        <w:rPr>
          <w:rFonts w:ascii="Arial" w:hAnsi="Arial" w:cs="Arial"/>
        </w:rPr>
        <w:t>wykaz informacji podawanych do publicznej wiadomości (zał. V dyrektywy Seveso III): brak obowiązku aktualizacji tych informacji w przypadku wprowadzenia zmian; brak zapewnienia przedstawienia wszystkich elementów wymienionych w zał. V dyrektywy Seveso III; brak precyzyjnego określenia, że informacje powinny obejmować w szczególności skutki, jakie poważna awaria może mieć dla zdrowia ludzkiego i  środowiska; brak wymogu, aby informacje obejmowały zalecenia stosowania się do wszelkich instrukcji oraz wniosków służb odpowiedzialnych za bezpieczeństwo w czasie awarii oraz wskazywały wyraźnie, że zakład znajduje się blisko terytorium innego P.Cz. z możliwością wystąpienia poważnej awarii przemysłowej o  skutkach transgranicznych.</w:t>
      </w:r>
    </w:p>
    <w:p w14:paraId="007792FE" w14:textId="77777777" w:rsidR="00285722" w:rsidRPr="00285722" w:rsidRDefault="00285722" w:rsidP="00285722">
      <w:pPr>
        <w:spacing w:after="0" w:line="300" w:lineRule="auto"/>
        <w:jc w:val="both"/>
        <w:rPr>
          <w:rFonts w:ascii="Arial" w:hAnsi="Arial" w:cs="Arial"/>
        </w:rPr>
      </w:pPr>
      <w:r w:rsidRPr="00285722">
        <w:rPr>
          <w:rFonts w:ascii="Arial" w:hAnsi="Arial" w:cs="Arial"/>
        </w:rPr>
        <w:t xml:space="preserve">W odpowiedzi RP, udzielonej dnia 19 maja 2025 r., strona polska zobowiązała się do dokonania zmian legislacyjnych w celu usunięcia stwierdzonych naruszeń, w tym w drodze zmiany ustawy z dnia 27 kwietnia 2001 r. – Prawo ochrony środowiska (dalej jako „ustawa Poś”) oraz (w miarę potrzeby) aktów wykonawczych do tej ustawy. </w:t>
      </w:r>
    </w:p>
    <w:p w14:paraId="064EC18A" w14:textId="77777777" w:rsidR="00285722" w:rsidRPr="00285722" w:rsidRDefault="00285722" w:rsidP="00285722">
      <w:pPr>
        <w:spacing w:after="0" w:line="300" w:lineRule="auto"/>
        <w:jc w:val="both"/>
        <w:rPr>
          <w:rFonts w:ascii="Arial" w:hAnsi="Arial" w:cs="Arial"/>
        </w:rPr>
      </w:pPr>
      <w:r w:rsidRPr="00285722">
        <w:rPr>
          <w:rFonts w:ascii="Arial" w:hAnsi="Arial" w:cs="Arial"/>
        </w:rPr>
        <w:t>Jednocześnie stwierdzono konieczność wprowadzenia zmian porządkujących w przepisach krajowych o poważnych awariach przemysłowych w odpowiedzi na niejasności i rozbieżności interpretacyjne stwierdzone w toku ich praktycznego stosowania przez dekadę od czasu transpozycji dyrektywy Seveso III.</w:t>
      </w:r>
    </w:p>
    <w:p w14:paraId="16638582" w14:textId="77777777" w:rsidR="00285722" w:rsidRPr="00285722" w:rsidRDefault="00285722" w:rsidP="00285722">
      <w:pPr>
        <w:spacing w:after="0" w:line="300" w:lineRule="auto"/>
        <w:jc w:val="both"/>
        <w:rPr>
          <w:rFonts w:ascii="Arial" w:hAnsi="Arial" w:cs="Arial"/>
        </w:rPr>
      </w:pPr>
      <w:r w:rsidRPr="00285722">
        <w:rPr>
          <w:rFonts w:ascii="Arial" w:hAnsi="Arial" w:cs="Arial"/>
        </w:rPr>
        <w:t xml:space="preserve">W celu usunięcia naruszenia nr 2021/2067, którego ramy tematyczne określono zbiorczo w pkt 1 OSR (lit. a - g), konieczne jest przyjęcie zmian przepisów w zakresie dotyczącym: </w:t>
      </w:r>
    </w:p>
    <w:p w14:paraId="030577F2" w14:textId="77777777" w:rsidR="00285722" w:rsidRPr="00285722" w:rsidRDefault="00285722" w:rsidP="00285722">
      <w:pPr>
        <w:pStyle w:val="Akapitzlist"/>
        <w:numPr>
          <w:ilvl w:val="0"/>
          <w:numId w:val="14"/>
        </w:numPr>
        <w:spacing w:after="0" w:line="300" w:lineRule="auto"/>
        <w:ind w:left="567" w:hanging="283"/>
        <w:jc w:val="both"/>
        <w:rPr>
          <w:rFonts w:ascii="Arial" w:hAnsi="Arial" w:cs="Arial"/>
        </w:rPr>
      </w:pPr>
      <w:r w:rsidRPr="00285722">
        <w:rPr>
          <w:rFonts w:ascii="Arial" w:hAnsi="Arial" w:cs="Arial"/>
        </w:rPr>
        <w:t xml:space="preserve">raportu o bezpieczeństwie zakładów o dużym ryzyku wystąpienia poważnej awarii poprzez doprecyzowanie, że: </w:t>
      </w:r>
    </w:p>
    <w:p w14:paraId="03D73D77"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t>–</w:t>
      </w:r>
      <w:r w:rsidRPr="00285722">
        <w:rPr>
          <w:rFonts w:ascii="Arial" w:hAnsi="Arial" w:cs="Arial"/>
        </w:rPr>
        <w:tab/>
        <w:t>dokument ten sporządza się m.in. w celu wykazania, iż eksploatacja instalacji uwzględnia odpowiednie bezpieczeństwo i niezawodność (odpowiedź na zarzut nr 3.1 z uzasadnionej opinii KE),</w:t>
      </w:r>
    </w:p>
    <w:p w14:paraId="735DACE4"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t>–</w:t>
      </w:r>
      <w:r w:rsidRPr="00285722">
        <w:rPr>
          <w:rFonts w:ascii="Arial" w:hAnsi="Arial" w:cs="Arial"/>
        </w:rPr>
        <w:tab/>
        <w:t>nietechniczne streszczenie tego opracowania powinno zawierać ogólne informacje dotyczące zagrożeń poważnymi awariami oraz potencjalnych skutków dla zdrowia ludzi i środowiska w przypadku wystąpienia poważnej awarii przemysłowej (odpowiedź na zarzut nr 3.4 z uzasadnionej opinii KE);</w:t>
      </w:r>
    </w:p>
    <w:p w14:paraId="6BBEA5BA" w14:textId="77777777" w:rsidR="00285722" w:rsidRPr="00285722" w:rsidRDefault="00285722" w:rsidP="00285722">
      <w:pPr>
        <w:pStyle w:val="Akapitzlist"/>
        <w:numPr>
          <w:ilvl w:val="0"/>
          <w:numId w:val="14"/>
        </w:numPr>
        <w:spacing w:after="0" w:line="300" w:lineRule="auto"/>
        <w:ind w:left="567" w:hanging="283"/>
        <w:jc w:val="both"/>
        <w:rPr>
          <w:rFonts w:ascii="Arial" w:hAnsi="Arial" w:cs="Arial"/>
        </w:rPr>
      </w:pPr>
      <w:r w:rsidRPr="00285722">
        <w:rPr>
          <w:rFonts w:ascii="Arial" w:hAnsi="Arial" w:cs="Arial"/>
        </w:rPr>
        <w:t>planowania i zagospodarowania przestrzennego poprzez wskazanie, że w przypadku istniejących zakładów uwzględnia się wymóg, iż dodatkowe środki techniczne mogą być wymagane nie tylko aby nie zwiększać ryzyka dla zdrowia ludzkiego, ale również dla środowiska (odpowiedź na zarzut nr 3.2 z uzasadnionej opinii KE);</w:t>
      </w:r>
    </w:p>
    <w:p w14:paraId="0BE8BDE5" w14:textId="77777777" w:rsidR="00285722" w:rsidRPr="00285722" w:rsidRDefault="00285722" w:rsidP="00285722">
      <w:pPr>
        <w:pStyle w:val="Akapitzlist"/>
        <w:numPr>
          <w:ilvl w:val="0"/>
          <w:numId w:val="14"/>
        </w:numPr>
        <w:spacing w:after="0" w:line="300" w:lineRule="auto"/>
        <w:ind w:left="567" w:hanging="283"/>
        <w:jc w:val="both"/>
        <w:rPr>
          <w:rFonts w:ascii="Arial" w:hAnsi="Arial" w:cs="Arial"/>
        </w:rPr>
      </w:pPr>
      <w:r w:rsidRPr="00285722">
        <w:rPr>
          <w:rFonts w:ascii="Arial" w:hAnsi="Arial" w:cs="Arial"/>
        </w:rPr>
        <w:t>wymiany informacji z innymi państwami poprzez wprowadzenie wymogu informowania P.Cz. o przesłankach podjęcia decyzji o odstąpieniu od sporządzenia zewnętrznego planu operacyjno-ratowniczego (odpowiedź na zarzut nr 3.6 z uzasadnionej opinii KE);</w:t>
      </w:r>
    </w:p>
    <w:p w14:paraId="7AC9AE43" w14:textId="77777777" w:rsidR="00285722" w:rsidRPr="00285722" w:rsidRDefault="00285722" w:rsidP="00285722">
      <w:pPr>
        <w:pStyle w:val="Akapitzlist"/>
        <w:numPr>
          <w:ilvl w:val="0"/>
          <w:numId w:val="14"/>
        </w:numPr>
        <w:spacing w:after="0" w:line="300" w:lineRule="auto"/>
        <w:ind w:left="567" w:hanging="283"/>
        <w:jc w:val="both"/>
        <w:rPr>
          <w:rFonts w:ascii="Arial" w:hAnsi="Arial" w:cs="Arial"/>
        </w:rPr>
      </w:pPr>
      <w:r w:rsidRPr="00285722">
        <w:rPr>
          <w:rFonts w:ascii="Arial" w:hAnsi="Arial" w:cs="Arial"/>
        </w:rPr>
        <w:t xml:space="preserve">zadań organów właściwych w przypadku wystąpienia poważnej awarii przemysłowej poprzez: </w:t>
      </w:r>
    </w:p>
    <w:p w14:paraId="262F49C3"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t>–</w:t>
      </w:r>
      <w:r w:rsidRPr="00285722">
        <w:rPr>
          <w:rFonts w:ascii="Arial" w:hAnsi="Arial" w:cs="Arial"/>
        </w:rPr>
        <w:tab/>
        <w:t>uwzględnienie potrzeby dostarczenia potencjalnie zagrożonym P.Cz. odpowiednich informacji odnoszących się do prawdopodobieństwa poważnej awarii o transgranicznych skutkach w zakładzie o dużym ryzyku, aby umożliwić tym P.Cz. zastosowanie odpowiednich środków (o których mowa w art. 12, 13 i 14 dyrektywy Seveso III) (odpowiedź na zarzut nr 3.7 z uzasadnionej opinii KE),</w:t>
      </w:r>
    </w:p>
    <w:p w14:paraId="7F2D7668"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lastRenderedPageBreak/>
        <w:t>–</w:t>
      </w:r>
      <w:r w:rsidRPr="00285722">
        <w:rPr>
          <w:rFonts w:ascii="Arial" w:hAnsi="Arial" w:cs="Arial"/>
        </w:rPr>
        <w:tab/>
        <w:t>wprowadzenie obowiązku informowania osób narażonych w następstwie poważnej awarii o środkach podjętych w celu ograniczenia skutków poważnej awarii (odpowiedź na zarzut nr 3.8 z uzasadnionej opinii KE),</w:t>
      </w:r>
    </w:p>
    <w:p w14:paraId="0E24794F"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t>–</w:t>
      </w:r>
      <w:r w:rsidRPr="00285722">
        <w:rPr>
          <w:rFonts w:ascii="Arial" w:hAnsi="Arial" w:cs="Arial"/>
        </w:rPr>
        <w:tab/>
        <w:t>nałożenie na prowadzącego zakład obowiązku przedłożenia właściwemu organowi zmienionego (anonimowego, zredagowanego) raportu o bezpieczeństwie lub wykazu substancji niebezpiecznych, jeśli organy te uznają, że niektóre części ww. dokumentów nie podlegają udostępnieniu (odpowiedź na zarzut nr 3.9 z uzasadnionej opinii KE);</w:t>
      </w:r>
    </w:p>
    <w:p w14:paraId="284E7330" w14:textId="77777777" w:rsidR="00285722" w:rsidRPr="00285722" w:rsidRDefault="00285722" w:rsidP="00285722">
      <w:pPr>
        <w:pStyle w:val="Akapitzlist"/>
        <w:numPr>
          <w:ilvl w:val="0"/>
          <w:numId w:val="14"/>
        </w:numPr>
        <w:spacing w:after="0" w:line="300" w:lineRule="auto"/>
        <w:ind w:left="567" w:hanging="283"/>
        <w:jc w:val="both"/>
        <w:rPr>
          <w:rFonts w:ascii="Arial" w:hAnsi="Arial" w:cs="Arial"/>
        </w:rPr>
      </w:pPr>
      <w:r w:rsidRPr="00285722">
        <w:rPr>
          <w:rFonts w:ascii="Arial" w:hAnsi="Arial" w:cs="Arial"/>
        </w:rPr>
        <w:t xml:space="preserve">systemu zarządzania bezpieczeństwem (zał. III dyrektywy Seveso III) poprzez nałożenie na prowadzącego zakład obowiązku: </w:t>
      </w:r>
    </w:p>
    <w:p w14:paraId="64A5C7B6"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t>–</w:t>
      </w:r>
      <w:r w:rsidRPr="00285722">
        <w:rPr>
          <w:rFonts w:ascii="Arial" w:hAnsi="Arial" w:cs="Arial"/>
        </w:rPr>
        <w:tab/>
        <w:t>przyjęcia i wdrożenia odpowiednich procedur, mechanizmów i systemów oceny, badania, podejmowania działań naprawczych i sprawozdawczości w przypadku poważnych awarii lub sytuacji bliskich awariom (odpowiedź na zarzut nr 3.10 z uzasadnionej opinii KE),</w:t>
      </w:r>
    </w:p>
    <w:p w14:paraId="46EB71B3"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t>–</w:t>
      </w:r>
      <w:r w:rsidRPr="00285722">
        <w:rPr>
          <w:rFonts w:ascii="Arial" w:hAnsi="Arial" w:cs="Arial"/>
        </w:rPr>
        <w:tab/>
        <w:t>wprowadzenia w systemie zarządzania bezpieczeństwem odniesienia do uwzględnienia i wdrożenia niezbędnych zmian określonych w audycie i przeglądzie, tj. w procedurach mających na celu wykrycie wszelkich potencjalnych niespójności i niedociągnięć (odpowiedź na zarzut nr 3.11 z uzasadnionej opinii KE);</w:t>
      </w:r>
    </w:p>
    <w:p w14:paraId="5175BF09" w14:textId="77777777" w:rsidR="00285722" w:rsidRPr="00285722" w:rsidRDefault="00285722" w:rsidP="00285722">
      <w:pPr>
        <w:pStyle w:val="Akapitzlist"/>
        <w:numPr>
          <w:ilvl w:val="0"/>
          <w:numId w:val="14"/>
        </w:numPr>
        <w:spacing w:after="0" w:line="300" w:lineRule="auto"/>
        <w:ind w:left="567" w:hanging="283"/>
        <w:jc w:val="both"/>
        <w:rPr>
          <w:rFonts w:ascii="Arial" w:hAnsi="Arial" w:cs="Arial"/>
        </w:rPr>
      </w:pPr>
      <w:r w:rsidRPr="00285722">
        <w:rPr>
          <w:rFonts w:ascii="Arial" w:hAnsi="Arial" w:cs="Arial"/>
        </w:rPr>
        <w:t xml:space="preserve">wewnętrznych i zewnętrznych planów operacyjno-ratowniczych poprzez: </w:t>
      </w:r>
    </w:p>
    <w:p w14:paraId="2D2EA266"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t>–</w:t>
      </w:r>
      <w:r w:rsidRPr="00285722">
        <w:rPr>
          <w:rFonts w:ascii="Arial" w:hAnsi="Arial" w:cs="Arial"/>
        </w:rPr>
        <w:tab/>
        <w:t>wprowadzenie wymogu planowania działań w przypadku przewidywalnych warunków lub zdarzeń, które mogą spowodować poważną awarię, zanim taka awaria wystąpi (odpowiedź na zarzut nr 3.12 z uzasadnionej opinii KE),</w:t>
      </w:r>
    </w:p>
    <w:p w14:paraId="7118ECA2"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t>–</w:t>
      </w:r>
      <w:r w:rsidRPr="00285722">
        <w:rPr>
          <w:rFonts w:ascii="Arial" w:hAnsi="Arial" w:cs="Arial"/>
        </w:rPr>
        <w:tab/>
        <w:t>doprecyzowanie w zakresie rodzaju informacji, które należy uwzględnić we wczesnych ostrzeżeniach i potrzeby udzielania bardziej szczegółowych informacji w miarę ich dostępności (odpowiedź na zarzut nr 3.13 z uzasadnionej opinii KE),</w:t>
      </w:r>
    </w:p>
    <w:p w14:paraId="643AEAED"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t>–</w:t>
      </w:r>
      <w:r w:rsidRPr="00285722">
        <w:rPr>
          <w:rFonts w:ascii="Arial" w:hAnsi="Arial" w:cs="Arial"/>
        </w:rPr>
        <w:tab/>
        <w:t>uwzględnienie, że powiadamianie właściwych organów, ludzi i sąsiednich zakładów lub obiektów powinno również określać sposób, w jaki należy się zachowywać w czasie awarii (odpowiedź na zarzut nr 3.14 z uzasadnionej opinii KE);</w:t>
      </w:r>
    </w:p>
    <w:p w14:paraId="43536B7A" w14:textId="77777777" w:rsidR="00285722" w:rsidRPr="00285722" w:rsidRDefault="00285722" w:rsidP="00285722">
      <w:pPr>
        <w:pStyle w:val="Akapitzlist"/>
        <w:numPr>
          <w:ilvl w:val="0"/>
          <w:numId w:val="14"/>
        </w:numPr>
        <w:spacing w:after="0" w:line="300" w:lineRule="auto"/>
        <w:ind w:left="567" w:hanging="283"/>
        <w:jc w:val="both"/>
        <w:rPr>
          <w:rFonts w:ascii="Arial" w:hAnsi="Arial" w:cs="Arial"/>
        </w:rPr>
      </w:pPr>
      <w:r w:rsidRPr="00285722">
        <w:rPr>
          <w:rFonts w:ascii="Arial" w:hAnsi="Arial" w:cs="Arial"/>
        </w:rPr>
        <w:t xml:space="preserve">wykazu informacji podawanych do publicznej wiadomości (zał. V dyrektywy Seveso III) poprzez: </w:t>
      </w:r>
    </w:p>
    <w:p w14:paraId="724EF7F1"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t>–</w:t>
      </w:r>
      <w:r w:rsidRPr="00285722">
        <w:rPr>
          <w:rFonts w:ascii="Arial" w:hAnsi="Arial" w:cs="Arial"/>
        </w:rPr>
        <w:tab/>
        <w:t>wprowadzenie wymogu, aby prowadzący:</w:t>
      </w:r>
    </w:p>
    <w:p w14:paraId="5A8AC379" w14:textId="77777777" w:rsidR="00285722" w:rsidRPr="00285722" w:rsidRDefault="00285722" w:rsidP="00285722">
      <w:pPr>
        <w:pStyle w:val="Akapitzlist"/>
        <w:numPr>
          <w:ilvl w:val="1"/>
          <w:numId w:val="15"/>
        </w:numPr>
        <w:spacing w:after="0" w:line="300" w:lineRule="auto"/>
        <w:ind w:left="993" w:hanging="284"/>
        <w:jc w:val="both"/>
        <w:rPr>
          <w:rFonts w:ascii="Arial" w:hAnsi="Arial" w:cs="Arial"/>
        </w:rPr>
      </w:pPr>
      <w:r w:rsidRPr="00285722">
        <w:rPr>
          <w:rFonts w:ascii="Arial" w:hAnsi="Arial" w:cs="Arial"/>
        </w:rPr>
        <w:t xml:space="preserve">zakład o zwiększonym lub o dużym ryzyku wystąpienia poważnej awarii przemysłowej, podawał do publicznej wiadomości: </w:t>
      </w:r>
    </w:p>
    <w:p w14:paraId="1879DA97" w14:textId="77777777" w:rsidR="00285722" w:rsidRPr="00285722" w:rsidRDefault="00285722" w:rsidP="00285722">
      <w:pPr>
        <w:pStyle w:val="Akapitzlist"/>
        <w:numPr>
          <w:ilvl w:val="0"/>
          <w:numId w:val="15"/>
        </w:numPr>
        <w:spacing w:after="0" w:line="300" w:lineRule="auto"/>
        <w:ind w:left="1276" w:hanging="283"/>
        <w:jc w:val="both"/>
        <w:rPr>
          <w:rFonts w:ascii="Arial" w:hAnsi="Arial" w:cs="Arial"/>
        </w:rPr>
      </w:pPr>
      <w:r w:rsidRPr="00285722">
        <w:rPr>
          <w:rFonts w:ascii="Arial" w:hAnsi="Arial" w:cs="Arial"/>
        </w:rPr>
        <w:t>aktualizację informacji podawanej do publicznej wiadomości w przypadku wprowadzenia zmian, o których mowa w art. 257 i 258 ustawy Poś (odpowiedź na zarzut nr 3.3 z uzasadnionej opinii KE),</w:t>
      </w:r>
    </w:p>
    <w:p w14:paraId="15C3A056" w14:textId="77777777" w:rsidR="00285722" w:rsidRPr="00285722" w:rsidRDefault="00285722" w:rsidP="00285722">
      <w:pPr>
        <w:pStyle w:val="Akapitzlist"/>
        <w:numPr>
          <w:ilvl w:val="0"/>
          <w:numId w:val="15"/>
        </w:numPr>
        <w:spacing w:after="0" w:line="300" w:lineRule="auto"/>
        <w:ind w:left="1276" w:hanging="283"/>
        <w:jc w:val="both"/>
        <w:rPr>
          <w:rFonts w:ascii="Arial" w:hAnsi="Arial" w:cs="Arial"/>
        </w:rPr>
      </w:pPr>
      <w:r w:rsidRPr="00285722">
        <w:rPr>
          <w:rFonts w:ascii="Arial" w:hAnsi="Arial" w:cs="Arial"/>
        </w:rPr>
        <w:t xml:space="preserve">wszystkie elementy wymienione w części 1 zał. V dyrektywy Seveso III (odpowiedź na zarzut nr 3.5 z uzasadnionej opinii KE) – również szczegółowe informacje dotyczące uzyskania dalszych istotnych informacji związanych z możliwością wystąpienia poważnej awarii przemysłowej, jej zapobieganiu oraz ograniczaniu skutków (odpowiedź na zarzut nr 3.15 z uzasadnionej opinii KE), </w:t>
      </w:r>
    </w:p>
    <w:p w14:paraId="0CEAAFAE" w14:textId="77777777" w:rsidR="00285722" w:rsidRPr="00285722" w:rsidRDefault="00285722" w:rsidP="00285722">
      <w:pPr>
        <w:pStyle w:val="Akapitzlist"/>
        <w:numPr>
          <w:ilvl w:val="1"/>
          <w:numId w:val="15"/>
        </w:numPr>
        <w:spacing w:after="0" w:line="300" w:lineRule="auto"/>
        <w:ind w:left="993" w:hanging="284"/>
        <w:jc w:val="both"/>
        <w:rPr>
          <w:rFonts w:ascii="Arial" w:hAnsi="Arial" w:cs="Arial"/>
        </w:rPr>
      </w:pPr>
      <w:r w:rsidRPr="00285722">
        <w:rPr>
          <w:rFonts w:ascii="Arial" w:hAnsi="Arial" w:cs="Arial"/>
        </w:rPr>
        <w:t>zakład o dużym ryzyku wystąpienia poważnej awarii przemysłowej podawał do publicznej wiadomości również ogólne informacje dotyczące charakteru zagrożeń poważnymi awariami, z uwzględnieniem ich potencjalnych skutków dla zdrowia ludzkiego i środowiska (odpowiedź na zarzut nr 3.16 z uzasadnionej opinii KE);</w:t>
      </w:r>
    </w:p>
    <w:p w14:paraId="22624EAD" w14:textId="77777777" w:rsidR="00285722" w:rsidRPr="00285722" w:rsidRDefault="00285722" w:rsidP="00285722">
      <w:pPr>
        <w:pStyle w:val="Akapitzlist"/>
        <w:spacing w:after="0" w:line="300" w:lineRule="auto"/>
        <w:ind w:left="567"/>
        <w:jc w:val="both"/>
        <w:rPr>
          <w:rFonts w:ascii="Arial" w:hAnsi="Arial" w:cs="Arial"/>
        </w:rPr>
      </w:pPr>
      <w:r w:rsidRPr="00285722">
        <w:rPr>
          <w:rFonts w:ascii="Arial" w:hAnsi="Arial" w:cs="Arial"/>
        </w:rPr>
        <w:lastRenderedPageBreak/>
        <w:t>–</w:t>
      </w:r>
      <w:r w:rsidRPr="00285722">
        <w:rPr>
          <w:rFonts w:ascii="Arial" w:hAnsi="Arial" w:cs="Arial"/>
        </w:rPr>
        <w:tab/>
        <w:t>wprowadzenie wymogu, aby informacje podawane do publicznej wiadomości obejmowały zalecenia stosowania się do wszelkich instrukcji oraz wniosków służb odpowiedzialnych za bezpieczeństwo w czasie awarii oraz wskazywały wyraźnie, że zakład znajduje się blisko terytorium innego P.Cz. z możliwością wystąpienia poważnej awarii o skutkach transgranicznych (odpowiedź na zarzut nr 3.17 z uzasadnionej opinii KE).</w:t>
      </w:r>
    </w:p>
    <w:p w14:paraId="3070F99F" w14:textId="77777777" w:rsidR="00285722" w:rsidRPr="00285722" w:rsidRDefault="00285722" w:rsidP="00285722">
      <w:pPr>
        <w:spacing w:after="0" w:line="300" w:lineRule="auto"/>
        <w:jc w:val="both"/>
        <w:rPr>
          <w:rFonts w:ascii="Arial" w:hAnsi="Arial" w:cs="Arial"/>
        </w:rPr>
      </w:pPr>
      <w:r w:rsidRPr="00285722">
        <w:rPr>
          <w:rFonts w:ascii="Arial" w:hAnsi="Arial" w:cs="Arial"/>
        </w:rPr>
        <w:t>Niezależnie od powyższego, proponowane są dodatkowe zmiany ustawy Poś, w szczególności tytułu IV „Poważne awarie” oraz ustawy z dnia 27 marca 2003 r. o planowaniu i zagospodarowaniu przestrzennym (Dz. U. z 2024 r. poz. 1130 z późn. zm.), które są wynikiem zebranych dotąd doświadczeń w stosowaniu przedmiotowych wymagań oraz rekomendacji Międzyresortowego Zespołu do spraw określenia sposobu ustalania bezpiecznej odległości od zakładów stwarzających zagrożenie wystąpienia poważnej awarii przemysłowej. Zmiany te są również konieczne do zapewnienia pełnej spójności krajowych przepisów w zakresie przeciwdziałania poważnym awariom z dyrektywą Seveso III. W związku z tym, zakłada się m.in.:</w:t>
      </w:r>
    </w:p>
    <w:p w14:paraId="79251A21" w14:textId="77777777" w:rsidR="00285722" w:rsidRPr="00285722" w:rsidRDefault="00285722" w:rsidP="00285722">
      <w:pPr>
        <w:pStyle w:val="Akapitzlist"/>
        <w:numPr>
          <w:ilvl w:val="0"/>
          <w:numId w:val="16"/>
        </w:numPr>
        <w:spacing w:after="0" w:line="300" w:lineRule="auto"/>
        <w:ind w:left="567" w:hanging="283"/>
        <w:jc w:val="both"/>
        <w:rPr>
          <w:rFonts w:ascii="Arial" w:hAnsi="Arial" w:cs="Arial"/>
        </w:rPr>
      </w:pPr>
      <w:r w:rsidRPr="00285722">
        <w:rPr>
          <w:rFonts w:ascii="Arial" w:hAnsi="Arial" w:cs="Arial"/>
        </w:rPr>
        <w:t>doprecyzowanie stosowania przepisów w zakresie znajdowania się substancji niebezpiecznych na terenie zakładu w ramach procesów technologicznych takich jak przeładunek, rozładunek lub składowanie – co powinno ujednolicić stosowanie przepisów na poziomie krajowym, a także ułatwić ich interpretację, jak również przyczynić się do zachowania zasady równego traktowania wobec prawa oraz zasady uczciwej konkurencji, a ponadto zapewnić odpowiednio wysoki poziom bezpieczeństwa dla ludzi i środowiska. Projekt przewiduje usunięcie wątpliwości interpretacyjnych dotyczących określenia sytuacji, które nie stanowią tymczasowego składowania substancji niebezpiecznych i w związku z tym podlegają rygorom dyrektywy;</w:t>
      </w:r>
    </w:p>
    <w:p w14:paraId="1F686E3C" w14:textId="77777777" w:rsidR="00285722" w:rsidRPr="00285722" w:rsidRDefault="00285722" w:rsidP="00285722">
      <w:pPr>
        <w:pStyle w:val="Akapitzlist"/>
        <w:numPr>
          <w:ilvl w:val="0"/>
          <w:numId w:val="16"/>
        </w:numPr>
        <w:spacing w:after="0" w:line="300" w:lineRule="auto"/>
        <w:ind w:left="567" w:hanging="283"/>
        <w:jc w:val="both"/>
        <w:rPr>
          <w:rFonts w:ascii="Arial" w:hAnsi="Arial" w:cs="Arial"/>
        </w:rPr>
      </w:pPr>
      <w:r w:rsidRPr="00285722">
        <w:rPr>
          <w:rFonts w:ascii="Arial" w:hAnsi="Arial" w:cs="Arial"/>
        </w:rPr>
        <w:t>wprowadzenie definicji bezpiecznej odległości – co powinno wpłynąć na ułatwienie realizacji inwestycji budowlanych związanych ze wznoszeniem zakładów stwarzających zagrożenie wystąpienia poważnej awarii przemysłowej, jak również obiektów budowlanych w sąsiedztwie tych zakładów, z uwzględnieniem informacji nt. zagrożeń poważnymi awariami oraz potencjalnych skutków dla zdrowia ludzi i środowiska w przypadku wystąpienia poważnej awarii przemysłowej;</w:t>
      </w:r>
    </w:p>
    <w:p w14:paraId="0459AC39" w14:textId="77777777" w:rsidR="00285722" w:rsidRPr="00285722" w:rsidRDefault="00285722" w:rsidP="00285722">
      <w:pPr>
        <w:pStyle w:val="Akapitzlist"/>
        <w:numPr>
          <w:ilvl w:val="0"/>
          <w:numId w:val="16"/>
        </w:numPr>
        <w:spacing w:after="0" w:line="300" w:lineRule="auto"/>
        <w:ind w:left="567" w:hanging="283"/>
        <w:jc w:val="both"/>
        <w:rPr>
          <w:rFonts w:ascii="Arial" w:hAnsi="Arial" w:cs="Arial"/>
        </w:rPr>
      </w:pPr>
      <w:r w:rsidRPr="00285722">
        <w:rPr>
          <w:rFonts w:ascii="Arial" w:hAnsi="Arial" w:cs="Arial"/>
        </w:rPr>
        <w:t>doprecyzowanie wymogów w zakresie przekazywania przez prowadzących zakłady stwarzające zagrożenie wystąpienia poważnej awarii przemysłowej, do organów właściwych w zakresie kształtowania i prowadzenia polityki przestrzennej (wójtów, burmistrzów, prezydentów miast, wojewodów – dla terenów zamkniętych) informacji dla celów planowania i zagospodarowania przestrzennego – co powinno ujednolicić stosowanie przepisów, usprawnić proces kształtowania polityki przestrzennej w związku z lokalizacją zakładów stwarzających zagrożenie wystąpienia poważnej awarii przemysłowej, a także ułatwić i przyśpieszyć proces opracowywania dokumentów planistycznych: decyzji o warunkach zabudowy, planów ogólnych, miejscowych planów zagospodarowania przestrzennego, zintegrowanych planów inwestycyjnych, z uwzględnieniem potrzeb zapobiegania poważnym awariom i ograniczania ich skutków dla zdrowia ludzkiego i środowiska;</w:t>
      </w:r>
    </w:p>
    <w:p w14:paraId="7F30B190" w14:textId="77777777" w:rsidR="00285722" w:rsidRPr="00285722" w:rsidRDefault="00285722" w:rsidP="00285722">
      <w:pPr>
        <w:pStyle w:val="Akapitzlist"/>
        <w:numPr>
          <w:ilvl w:val="0"/>
          <w:numId w:val="16"/>
        </w:numPr>
        <w:spacing w:after="0" w:line="300" w:lineRule="auto"/>
        <w:ind w:left="567" w:hanging="283"/>
        <w:jc w:val="both"/>
        <w:rPr>
          <w:rFonts w:ascii="Arial" w:hAnsi="Arial" w:cs="Arial"/>
        </w:rPr>
      </w:pPr>
      <w:r w:rsidRPr="00285722">
        <w:rPr>
          <w:rFonts w:ascii="Arial" w:hAnsi="Arial" w:cs="Arial"/>
        </w:rPr>
        <w:t xml:space="preserve">wskazanie organów właściwych do zawiadomienia przez osobę, która zauważy wystąpienie awarii, zgodnie z aktualnymi przepisami o ochronie przeciwpożarowej (m.in. </w:t>
      </w:r>
      <w:r w:rsidRPr="00285722">
        <w:rPr>
          <w:rFonts w:ascii="Arial" w:hAnsi="Arial" w:cs="Arial"/>
        </w:rPr>
        <w:lastRenderedPageBreak/>
        <w:t>poprzez dodanie centrum powiadamiania ratunkowego). Obecnie obowiązujący przepis (art. 245 ust. 1 ustawy Poś) wymaga aktualizacji, aby zachować spójność z przepisami ustawy z dnia 24 sierpnia 1991 r. o ochronie przeciwpożarowej (Dz. U. z 2025 r. poz. 188) i zapewnić odpowiednio szybkie powiadomienie właściwych służb ratunkowych o zagrożeniu. Zmiana jest zbieżna z celem dyrektywy Seveso, jakim jest skuteczne zapobieganie i ograniczanie skutków awarii przemysłowych;</w:t>
      </w:r>
    </w:p>
    <w:p w14:paraId="0A18DD9F" w14:textId="77777777" w:rsidR="00285722" w:rsidRPr="00285722" w:rsidRDefault="00285722" w:rsidP="00285722">
      <w:pPr>
        <w:pStyle w:val="Akapitzlist"/>
        <w:numPr>
          <w:ilvl w:val="0"/>
          <w:numId w:val="16"/>
        </w:numPr>
        <w:spacing w:after="0" w:line="300" w:lineRule="auto"/>
        <w:ind w:left="567" w:hanging="283"/>
        <w:jc w:val="both"/>
        <w:rPr>
          <w:rFonts w:ascii="Arial" w:hAnsi="Arial" w:cs="Arial"/>
        </w:rPr>
      </w:pPr>
      <w:r w:rsidRPr="00285722">
        <w:rPr>
          <w:rFonts w:ascii="Arial" w:hAnsi="Arial" w:cs="Arial"/>
        </w:rPr>
        <w:t>w przepisach dotyczących planowania i zagospodarowania przestrzennego określenie właściwości organów PSP szczebla wojewódzkiego i powiatowego – co powinno ułatwić organom ds. planowania przestrzennego identyfikowanie właściwych organów PSP w zakresie poważnych awarii przemysłowych, do których powinny kierować projekty dokumentów planistycznych.</w:t>
      </w:r>
    </w:p>
    <w:p w14:paraId="76FADD6C" w14:textId="77777777" w:rsidR="00285722" w:rsidRPr="00285722" w:rsidRDefault="00285722" w:rsidP="00285722">
      <w:pPr>
        <w:spacing w:after="0" w:line="300" w:lineRule="auto"/>
        <w:jc w:val="both"/>
        <w:rPr>
          <w:rFonts w:ascii="Arial" w:hAnsi="Arial" w:cs="Arial"/>
        </w:rPr>
      </w:pPr>
      <w:r w:rsidRPr="00285722">
        <w:rPr>
          <w:rFonts w:ascii="Arial" w:hAnsi="Arial" w:cs="Arial"/>
        </w:rPr>
        <w:t>Zapewnienie pełnej transpozycji dyrektywy Seveso III oraz spójności przepisów w obszarze zapobiegania poważnym awariom przemysłowym wymaga zmiany również innych aktów prawnych, tj. przepisów wykonawczych (zmiany wynikowe i doprecyzowujące).</w:t>
      </w:r>
    </w:p>
    <w:p w14:paraId="2E11C1C2" w14:textId="110D6F13" w:rsidR="00285722" w:rsidRPr="00285722" w:rsidRDefault="00285722" w:rsidP="00285722">
      <w:pPr>
        <w:spacing w:after="0" w:line="300" w:lineRule="auto"/>
        <w:jc w:val="both"/>
        <w:rPr>
          <w:rFonts w:ascii="Arial" w:hAnsi="Arial" w:cs="Arial"/>
        </w:rPr>
      </w:pPr>
      <w:r w:rsidRPr="00285722">
        <w:rPr>
          <w:rFonts w:ascii="Arial" w:hAnsi="Arial" w:cs="Arial"/>
        </w:rPr>
        <w:t>Należy wskazać, że nie ma możliwości podjęcia alternatywnych w stosunku do interwencji legislacyjnej środków umożliwiających osiągnięcie zamierzonego celu.</w:t>
      </w:r>
    </w:p>
    <w:p w14:paraId="78FA17E5" w14:textId="77777777" w:rsidR="00285722" w:rsidRDefault="00285722" w:rsidP="00967802">
      <w:pPr>
        <w:spacing w:after="0" w:line="300" w:lineRule="auto"/>
        <w:jc w:val="both"/>
        <w:rPr>
          <w:rFonts w:ascii="Arial" w:hAnsi="Arial" w:cs="Arial"/>
        </w:rPr>
      </w:pPr>
    </w:p>
    <w:p w14:paraId="21CC2176" w14:textId="77777777" w:rsidR="00285722" w:rsidRPr="00285722" w:rsidRDefault="00285722" w:rsidP="00285722">
      <w:pPr>
        <w:spacing w:after="0" w:line="300" w:lineRule="auto"/>
        <w:jc w:val="both"/>
        <w:rPr>
          <w:rFonts w:ascii="Arial" w:hAnsi="Arial" w:cs="Arial"/>
        </w:rPr>
      </w:pPr>
      <w:r w:rsidRPr="00285722">
        <w:rPr>
          <w:rFonts w:ascii="Arial" w:hAnsi="Arial" w:cs="Arial"/>
        </w:rPr>
        <w:t xml:space="preserve">Przedmiotowy projekt aktu prawnego wraz z Uzasadnieniem, Oceną Skutków Regulacji, Tabelą Zgodności oraz Odwróconą Tabelą Zgodności dostępny jest na stronach Rządowego Centrum Legislacji pod adresem: </w:t>
      </w:r>
    </w:p>
    <w:p w14:paraId="213537A4" w14:textId="55165FA8" w:rsidR="00285722" w:rsidRDefault="00285722" w:rsidP="00285722">
      <w:pPr>
        <w:spacing w:after="0" w:line="300" w:lineRule="auto"/>
        <w:jc w:val="both"/>
        <w:rPr>
          <w:rFonts w:ascii="Arial" w:hAnsi="Arial" w:cs="Arial"/>
        </w:rPr>
      </w:pPr>
      <w:hyperlink r:id="rId8" w:history="1">
        <w:r w:rsidRPr="00627031">
          <w:rPr>
            <w:rStyle w:val="Hipercze"/>
            <w:rFonts w:ascii="Arial" w:hAnsi="Arial" w:cs="Arial"/>
          </w:rPr>
          <w:t>https://legislacja.rcl.gov.pl/projekt/12415250/katalo</w:t>
        </w:r>
        <w:r w:rsidRPr="00627031">
          <w:rPr>
            <w:rStyle w:val="Hipercze"/>
            <w:rFonts w:ascii="Arial" w:hAnsi="Arial" w:cs="Arial"/>
          </w:rPr>
          <w:t>g</w:t>
        </w:r>
        <w:r w:rsidRPr="00627031">
          <w:rPr>
            <w:rStyle w:val="Hipercze"/>
            <w:rFonts w:ascii="Arial" w:hAnsi="Arial" w:cs="Arial"/>
          </w:rPr>
          <w:t>/13229258#13229258</w:t>
        </w:r>
      </w:hyperlink>
      <w:r>
        <w:rPr>
          <w:rFonts w:ascii="Arial" w:hAnsi="Arial" w:cs="Arial"/>
        </w:rPr>
        <w:t xml:space="preserve"> </w:t>
      </w:r>
    </w:p>
    <w:p w14:paraId="67ABEC0E" w14:textId="77777777" w:rsidR="00285722" w:rsidRDefault="00285722" w:rsidP="00967802">
      <w:pPr>
        <w:spacing w:after="0" w:line="300" w:lineRule="auto"/>
        <w:jc w:val="both"/>
        <w:rPr>
          <w:rFonts w:ascii="Arial" w:hAnsi="Arial" w:cs="Arial"/>
        </w:rPr>
      </w:pPr>
    </w:p>
    <w:p w14:paraId="3897B697" w14:textId="2465B551" w:rsidR="00285722" w:rsidRDefault="00285722" w:rsidP="00967802">
      <w:pPr>
        <w:spacing w:after="0" w:line="300" w:lineRule="auto"/>
        <w:jc w:val="both"/>
        <w:rPr>
          <w:rFonts w:ascii="Arial" w:hAnsi="Arial" w:cs="Arial"/>
        </w:rPr>
      </w:pPr>
      <w:r w:rsidRPr="00285722">
        <w:rPr>
          <w:rFonts w:ascii="Arial" w:hAnsi="Arial" w:cs="Arial"/>
        </w:rPr>
        <w:t>Projekt jest obecnie jednocześnie na etapie uzgodnień, konsultacji publicznych i opiniowania.</w:t>
      </w:r>
    </w:p>
    <w:p w14:paraId="75D67401" w14:textId="77777777" w:rsidR="00285722" w:rsidRPr="00967802" w:rsidRDefault="00285722" w:rsidP="00967802">
      <w:pPr>
        <w:spacing w:after="0" w:line="300" w:lineRule="auto"/>
        <w:jc w:val="both"/>
        <w:rPr>
          <w:rFonts w:ascii="Arial" w:hAnsi="Arial" w:cs="Arial"/>
        </w:rPr>
      </w:pPr>
    </w:p>
    <w:p w14:paraId="371E15AC" w14:textId="7AF106AB" w:rsidR="000077C7" w:rsidRPr="000502DF" w:rsidRDefault="000502DF" w:rsidP="000077C7">
      <w:pPr>
        <w:pStyle w:val="Akapitzlist"/>
        <w:numPr>
          <w:ilvl w:val="0"/>
          <w:numId w:val="3"/>
        </w:numPr>
        <w:spacing w:after="0" w:line="300" w:lineRule="auto"/>
        <w:jc w:val="both"/>
        <w:rPr>
          <w:rFonts w:ascii="Arial" w:hAnsi="Arial" w:cs="Arial"/>
          <w:b/>
          <w:bCs/>
          <w:u w:val="single"/>
        </w:rPr>
      </w:pPr>
      <w:r w:rsidRPr="000502DF">
        <w:rPr>
          <w:rFonts w:ascii="Arial" w:hAnsi="Arial" w:cs="Arial"/>
          <w:b/>
          <w:bCs/>
          <w:u w:val="single"/>
        </w:rPr>
        <w:t>P</w:t>
      </w:r>
      <w:r w:rsidRPr="000502DF">
        <w:rPr>
          <w:rFonts w:ascii="Arial" w:hAnsi="Arial" w:cs="Arial"/>
          <w:b/>
          <w:bCs/>
          <w:u w:val="single"/>
        </w:rPr>
        <w:t>rojekt ustawy o zmianie ustawy o podatku akcyzowym oraz niektórych innych ustaw (UD433).</w:t>
      </w:r>
    </w:p>
    <w:p w14:paraId="18323A0F" w14:textId="77777777" w:rsidR="000077C7" w:rsidRPr="000502DF" w:rsidRDefault="000077C7" w:rsidP="000077C7">
      <w:pPr>
        <w:spacing w:after="0" w:line="300" w:lineRule="auto"/>
        <w:jc w:val="both"/>
        <w:rPr>
          <w:rFonts w:ascii="Arial" w:hAnsi="Arial" w:cs="Arial"/>
        </w:rPr>
      </w:pPr>
    </w:p>
    <w:p w14:paraId="5D86B4DD" w14:textId="77777777" w:rsidR="000502DF" w:rsidRPr="000502DF" w:rsidRDefault="000502DF" w:rsidP="000502DF">
      <w:pPr>
        <w:spacing w:after="0" w:line="300" w:lineRule="auto"/>
        <w:jc w:val="both"/>
        <w:rPr>
          <w:rFonts w:ascii="Arial" w:hAnsi="Arial" w:cs="Arial"/>
        </w:rPr>
      </w:pPr>
      <w:r w:rsidRPr="000502DF">
        <w:rPr>
          <w:rFonts w:ascii="Arial" w:hAnsi="Arial" w:cs="Arial"/>
        </w:rPr>
        <w:t>Obszary obejmowane regulacją:</w:t>
      </w:r>
    </w:p>
    <w:p w14:paraId="13D56977" w14:textId="77777777" w:rsidR="000502DF" w:rsidRPr="000502DF" w:rsidRDefault="000502DF" w:rsidP="000502DF">
      <w:pPr>
        <w:spacing w:after="0" w:line="300" w:lineRule="auto"/>
        <w:jc w:val="both"/>
        <w:rPr>
          <w:rFonts w:ascii="Arial" w:hAnsi="Arial" w:cs="Arial"/>
          <w:b/>
          <w:bCs/>
        </w:rPr>
      </w:pPr>
      <w:r w:rsidRPr="000502DF">
        <w:rPr>
          <w:rFonts w:ascii="Arial" w:hAnsi="Arial" w:cs="Arial"/>
          <w:b/>
          <w:bCs/>
        </w:rPr>
        <w:t xml:space="preserve">I. Ustawa o podatku akcyzowym: </w:t>
      </w:r>
    </w:p>
    <w:p w14:paraId="7D3BB246"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 xml:space="preserve">Aktualnie, w przypadku paliwa lotniczego zwolnionego od akcyzy dostarczanego na płycie lotniska bezpośrednio do statków powietrznych, przepisy dopuszczają możliwość zbierania potwierdzeń odbioru paliwa lotniczego w formie papierowej albo z użyciem czytnika, na którym następuje odwzorowanie podpisu odręcznego. Podmioty dostarczające paliwo lotnicze nie mają możliwości stosowania ich własnych systemów informatycznych do zbierania potwierdzeń odbioru, co wydłuża proces dostawy paliwa lotniczego. </w:t>
      </w:r>
    </w:p>
    <w:p w14:paraId="76332289"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 xml:space="preserve">W przypadku napojów alkoholowych, warunkiem uzyskania zezwolenia na prowadzenie składu podatkowego typu magazynowego jest osiągnięcie w roku kalendarzowym minimalnej kwoty zawieszonej akcyzy. Te minimalne kwoty są oddzielnie określone dla każdego rodzaju napojów alkoholowych. Przykładowo podmiot, który magazynuje w składzie podatkowym alkohol etylowy i piwo, musi oddzielnie osiągnąć minimalną kwotę zawieszonej akcyzy dla alkoholu etylowego – 23 mln zł i dla piwa – 8 mln zł. </w:t>
      </w:r>
    </w:p>
    <w:p w14:paraId="22C0CC65"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 xml:space="preserve">Obecnie obowiązek zapłaty akcyzy obejmuje wyroby akcyzowe, które nie trafiły do sprzedaży, ponieważ zostały: przeterminowane, zniszczone, wycofane z obrotu z </w:t>
      </w:r>
      <w:r w:rsidRPr="000502DF">
        <w:rPr>
          <w:rFonts w:ascii="Arial" w:hAnsi="Arial" w:cs="Arial"/>
        </w:rPr>
        <w:lastRenderedPageBreak/>
        <w:t>przyczyn jakościowych lub bezpieczeństwa. W praktyce oznacza to, że przedsiębiorcy muszą płacić akcyzę od tych wyrobów, które nigdy nie przyniosły przychodu. Jednocześnie podmiot prowadzący skład podatkowy/inny podatnik może obniżyć kwotę akcyzy, do której zapłaty jest zobowiązany, o kwotę akcyzy zapłaconą od reklamowanych wyrobów akcyzowych. W związku z tym możliwość obniżenia kwoty akcyzy występuje jedynie w przypadku wyrobów akcyzowych, w stosunku do których wystąpiły podstawy do złożenia reklamacji, czyli wyrobów z wadami, niespełniających wymagań jakościowych. Możliwości obniżenia akcyzy nie ma natomiast w przypadku wyrobów, które nie posiadały wad, ale przeterminowały się.</w:t>
      </w:r>
    </w:p>
    <w:p w14:paraId="596E0473"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Obecne regulacje w zakresie stawek akcyzy na wyroby energetyczne w odniesieniu do dodatków lub domieszek do paliw silnikowych nie precyzują w sposób jednoznaczny zasad stosowania stawek akcyzy w odniesieniu do tych wyrobów. Zasadnym jest uszczegółowienie przepisów w tym zakresie.</w:t>
      </w:r>
    </w:p>
    <w:p w14:paraId="6CAD8DBC"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 xml:space="preserve">Obecnie podmiot, który jako zarejestrowany odbiorca nabywa wewnątrzwspólnotowo wyroby energetyczne i zużywa je w miejscu odbioru na użytek prowadzonej działalności gospodarczej do celów innych niż napędowe lub opałowe, jako zużywający podmiot gospodarczy, aby skorzystać z zerowej stawki akcyzy – musi dokonać fikcyjnego przemieszczenia tych wyrobów w Systemie EMCS PL2 samemu sobie (od zarejestrowanego odbiorcy do zużywającego podmiotu gospodarczego).  </w:t>
      </w:r>
    </w:p>
    <w:p w14:paraId="59235CF5"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W obowiązującym stanie prawnym warunkiem zastosowania zerowej stawki akcyzy dla biogazu, wodoru i biowodoru przeznaczonego do napędu silników spalinowych jest ich wyprodukowanie w składzie podatkowym i spełnienie wymagań jakościowych określonych w odrębnych przepisach. Natomiast warunku produkcji w składzie podatkowym dla zastosowania zerowej stawki akcyzy nie musi spełniać gaz ziemny pochodzenia kopalnego. Pod względem chemicznym biogaz oraz gaz ziemny są takimi samymi gazami, różne jest tylko ich pochodzenie. Zasadnym jest więc usunięcie warunku odnoszącego się do produkcji biogazu, wodoru i biowodoru w składzie podatkowym, tak aby pod tym względem gazy te były traktowane jednakowo. Ponadto zasadnym jest doprecyzowanie stosowania warunku dotyczącego spełnienia wymagań jakościowych przez te wyroby poprzez użycie sformułowania: „jeśli takie warunki zostały określone”. Wynika to z okoliczności, że do chwili obecnej takie warunki nie zostały określone w odrębnych przepisach.</w:t>
      </w:r>
    </w:p>
    <w:p w14:paraId="3CB1FFFE"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Z przepisu ustawy o podatku akcyzowym wynika, że cenę sprzedaży paczki papierosów lub tytoniu do palenia można podwyższyć o koszt zakupu banderoli legalizacyjnej, tj. 1,30 zł, którą oznaczone są te wyroby. Koszt banderoli legalizacyjnej w chwili tworzenia tego przepisu wynikał z rozporządzenia i wynosił 1,30 zł dla wszystkich wyrobów tytoniowych. Od 1 marca 2025 r. należności za banderole legalizacyjne uległy zmianie i wynoszą obecnie na papierosy - 1,50 zł oraz na tytoń do palenia do 200 g włącznie - 3,60 zł, a powyżej 200 g - 14,50 zł. W związku z powyższym konieczna jest zmiana przepisu poprzez wykreślenie z jego treści kwoty „1,30 zł”, tak aby cena za paczkę papierosów lub tytoniu do palenia była podwyższana o koszt zakupu banderoli legalizacyjnej, który będzie wynikał z rozporządzenia.</w:t>
      </w:r>
    </w:p>
    <w:p w14:paraId="13B676B6"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 xml:space="preserve">Usunięcie pojawiających się wątpliwości interpretacyjnych w zakresie dotyczącym wpływu obniżenia ceny samochodu osobowego na wysokość podstawy opodatkowania </w:t>
      </w:r>
      <w:r w:rsidRPr="000502DF">
        <w:rPr>
          <w:rFonts w:ascii="Arial" w:hAnsi="Arial" w:cs="Arial"/>
        </w:rPr>
        <w:lastRenderedPageBreak/>
        <w:t xml:space="preserve">akcyzą, w przypadku gdy po dokonaniu czynności podlegającej opodatkowaniu akcyzą, po powstaniu obowiązku podatkowego, podatnik uzyskał od sprzedawcy rabat/upust skutkujący obniżeniem ceny nabycia pojazdu. Należy przyjąć, ze miarodajnym momentem prawidłowego określenia podstawy opodatkowania podatkiem akcyzowym jest moment powstania obowiązku podatkowego. Kluczowe znaczenie ma chwila dokonania czynności podlegającej opodatkowaniu. Orzecznictwo sądowo-administracyjne w zakresie tego zagadnienia w ostatnich latach nie jest jednak jednolite, stąd potrzeba doprecyzowania regulacji w tej kwestii.   </w:t>
      </w:r>
    </w:p>
    <w:p w14:paraId="59F4E9E0"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W aktualnym stanie prawnym obowiązuje zwolnienie od akcyzy dla wyrobów akcyzowych używanych do statków powietrznych, które nie obejmuje swoim zakresem paliwa typu benzyny do silników spalinowych o kodzie CN 2710 12 45 (NATO F-67). Tymczasem paliwo takie planowane jest do wykorzystywania w bezzałogowych statkach powietrznych (dronach). Z wnioskiem o wprowadzenie zwolnienia w tym zakresie wystąpił Minister Obrony Narodowej wyjaśniając jednocześnie, że paliwo takie jest produkowane wyłącznie na potrzeby Sił Zbrojnych RP do zabezpieczenia eksploatacji sprzętu wojskowego i tym samym nie jest dostępne na rynku komercyjnym, a także że przepisy ustawy o podatku akcyzowym w obecnym kształcie powodują trudności i problemy we właściwej identyfikacji oraz rozliczaniu zużycia poszczególnych rodzajów paliw używanych na potrzeby Sił Zbrojnych RP. Podstawę prawa unijnego dla wprowadzenia takiego zwolnienia stanowi tzw. dyrektywa energetyczna.</w:t>
      </w:r>
    </w:p>
    <w:p w14:paraId="23BD1456"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Obecnie obowiązujący przepis stanowi, że podmiot wysyłający może w czasie przemieszczania wyrobów akcyzowych dokonać zmiany miejsca przeznaczenia tych wyrobów za pośrednictwem Systemu EMCS PL2 poprzez wskazanie nowego podmiotu odbierającego. Zmiana ta wymaga aktualizacji dokumentów e-AD, e-DD albo e-SAD w Systemie. Rozwiązanie to jest zgodne z regulacjami unijnymi w odniesieniu do dokumentów e-AD i e-DD. Natomiast w przypadku dokumentu e-SAD specyfikacja unijna dopuszcza wyłącznie zmianę miejsca odbioru wyrobów przy zachowaniu podmiotu odbierającego wskazanego w pierwotnym e-SAD. Zmiana podmiotu odbierającego nie jest dopuszczalna, co znajduje odzwierciedlenie w funkcjonalności i zasadach walidacji systemu EMCS. Zatem występuje potrzeba dostosowania przepisów krajowych do wymogów unijnych poprzez jednoznaczne wskazanie, że w przypadku dokumentu e-SAD zmiana miejsca przeznaczenia może dotyczyć wyłącznie miejsca odbioru wyrobów, bez możliwości zmiany podmiotu odbierającego.</w:t>
      </w:r>
    </w:p>
    <w:p w14:paraId="27C1F88B"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 xml:space="preserve">Obecnie obowiązujący przepis stanowi, że właściwy naczelnik urzędu skarbowego w sprawach znaków akcyzy na wniosek podmiotu wskazuje, w drodze decyzji, sposób nanoszenia znaków akcyzy zarówno na nietypowe opakowania jednostkowe wyrobów akcyzowych, jak i bezpośrednio na wyroby akcyzowe. Jednak przepis upoważniający ministra do określenia wzoru wniosku odnosi się tylko do nietypowych opakowań jednostkowych, nie uwzględnia natomiast drugiej sytuacji, gdy  znaki akcyzy mają być nanoszone bezpośrednio na wyroby akcyzowe.  </w:t>
      </w:r>
    </w:p>
    <w:p w14:paraId="5768A30B"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 xml:space="preserve">Obowiązujące przepisy umożliwiają dokonywanie za pośrednictwem Systemu EMCS PL2 podziału przemieszczenia wyrobów energetycznych w transporcie kolejowym. Nie przewidują jednak w takim przypadku rozwiązań na wypadek niedostępności Systemu. </w:t>
      </w:r>
    </w:p>
    <w:p w14:paraId="6443BFD3"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lastRenderedPageBreak/>
        <w:t>Obowiązujący przepis, który wskazuje, że jednostką współpracy administracyjnej w dziedzinie akcyzy jest centralne biuro łącznikowe (ELO), usytuowane w urzędzie obsługującym ministra właściwego do spraw finansów publicznych, odwołuje się do rozporządzenia Rady (WE) nr 2073/2004 z dnia 16 listopada 2004 r. w sprawie współpracy administracyjnej w dziedzinie podatków akcyzowych, które zostało uchylone i zastąpione rozporządzeniem Rady (UE) nr 389/2012 z dnia 2 maja 2012 r. w sprawie współpracy administracyjnej w dziedzinie podatków akcyzowych. Potrzebna jest więc zmiana porządkująca i dostosowująca przepis krajowy do aktualnego stanu prawa Unii Europejskiej.</w:t>
      </w:r>
    </w:p>
    <w:p w14:paraId="1622F1E6"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 xml:space="preserve">Obecnie na gruncie ustawy o podatku akcyzowym tylko w przypadku, gdy uboczne wyroby energetyczne, czyli uzyskane w procesie wytwarzania wyrobów niebędących wyrobami akcyzowymi, są przedmiotem sprzedaży w ilości nieprzekraczającej progu ustawowego, nie zachodzi czynność opodatkowana akcyzą. Natomiast w sytuacji, gdy te same niewielkie ilości wyrobów energetycznych są zużywane na potrzeby prowadzonej działalności gospodarczej, zachodzi czynność opodatkowana akcyzą. W takim przypadku  przedsiębiorca jest zobowiązany albo prowadzić działalność gospodarczą w składzie podatkowym, albo stosować  instytucję przedpłaty akcyzy. Zmiana doprowadzi do zrównania sytuacji prawnej podmiotów gospodarczych, które przy okazji produkcji wyrobów niebędących wyrobami akcyzowymi uzyskują niewielką ilość wyrobów energetycznych, niezależnie od tego czy je sprzedają, czy zużywają na potrzeby prowadzonej przez siebie działalności gospodarczej.  </w:t>
      </w:r>
    </w:p>
    <w:p w14:paraId="55A6BBC7"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 xml:space="preserve">Numer akcyzowy uprawnionego wysyłającego i numer akcyzowy uprawnionego odbiorcy (tj. podmiotów, które dokonują wewnątrzwspólnotowych przemieszczeń wyrobów akcyzowych poza procedurą zawieszenia poboru akcyzy w Systemie EMCS) nadaje Dyrektor Izby Administracji Skarbowej w Poznaniu na wniosek podmiotu złożony przez PUESC. Nadanie numeru akcyzowego stanowi czynność materialno-techniczną w systemie SZPROT PLUS. Obecnie przepisy ustawy o podatku akcyzowym nie przewidują cofnięcia numeru akcyzowego uprawnionego wysyłającego oraz numeru akcyzowego uprawnionego odbiorcy na wniosek podmiotu. Właściwy naczelnik urzędu skarbowego może tylko w określonych sytuacjach unieważnić numer akcyzowy uprawnionego wysyłającego/uprawnionego odbiorcy.  </w:t>
      </w:r>
    </w:p>
    <w:p w14:paraId="787E961C" w14:textId="77777777" w:rsidR="000502DF" w:rsidRPr="000502DF" w:rsidRDefault="000502DF" w:rsidP="000502DF">
      <w:pPr>
        <w:pStyle w:val="Akapitzlist"/>
        <w:numPr>
          <w:ilvl w:val="0"/>
          <w:numId w:val="17"/>
        </w:numPr>
        <w:spacing w:after="0" w:line="300" w:lineRule="auto"/>
        <w:ind w:left="567" w:hanging="425"/>
        <w:jc w:val="both"/>
        <w:rPr>
          <w:rFonts w:ascii="Arial" w:hAnsi="Arial" w:cs="Arial"/>
        </w:rPr>
      </w:pPr>
      <w:r w:rsidRPr="000502DF">
        <w:rPr>
          <w:rFonts w:ascii="Arial" w:hAnsi="Arial" w:cs="Arial"/>
        </w:rPr>
        <w:t xml:space="preserve">Zgodnie z obowiązującymi przepisami mieszanie wyrobów energetycznych stanowi produkcję, która, co do zasady, powinna odbywać się w składzie podatkowym. Tymczasem  gotowy, skroplony gaz ziemny pochodzenia kopalnego (LNG) oraz gotowy, skroplony biometan pochodzenia biologicznego (bioLNG)  mają tożsamy skład i te same zastosowania gospodarcze. Oba te gazy, czy to w procesie transportu, czy finalnego zużycia mogą funkcjonować jako jednorodna mieszanina i różnią się tylko pochodzeniem.   </w:t>
      </w:r>
    </w:p>
    <w:p w14:paraId="2B51A1B1" w14:textId="77777777" w:rsidR="000502DF" w:rsidRPr="000502DF" w:rsidRDefault="000502DF" w:rsidP="000502DF">
      <w:pPr>
        <w:spacing w:after="0" w:line="300" w:lineRule="auto"/>
        <w:jc w:val="both"/>
        <w:rPr>
          <w:rFonts w:ascii="Arial" w:hAnsi="Arial" w:cs="Arial"/>
          <w:b/>
          <w:bCs/>
        </w:rPr>
      </w:pPr>
      <w:r w:rsidRPr="000502DF">
        <w:rPr>
          <w:rFonts w:ascii="Arial" w:hAnsi="Arial" w:cs="Arial"/>
          <w:b/>
          <w:bCs/>
        </w:rPr>
        <w:t>II. Ustawa o podatku od wydobycia niektórych kopalin:</w:t>
      </w:r>
    </w:p>
    <w:p w14:paraId="75B4BDF7" w14:textId="77777777" w:rsidR="000502DF" w:rsidRPr="000502DF" w:rsidRDefault="000502DF" w:rsidP="000502DF">
      <w:pPr>
        <w:pStyle w:val="Akapitzlist"/>
        <w:numPr>
          <w:ilvl w:val="0"/>
          <w:numId w:val="18"/>
        </w:numPr>
        <w:spacing w:after="0" w:line="300" w:lineRule="auto"/>
        <w:ind w:left="567" w:hanging="425"/>
        <w:jc w:val="both"/>
        <w:rPr>
          <w:rFonts w:ascii="Arial" w:hAnsi="Arial" w:cs="Arial"/>
        </w:rPr>
      </w:pPr>
      <w:r w:rsidRPr="000502DF">
        <w:rPr>
          <w:rFonts w:ascii="Arial" w:hAnsi="Arial" w:cs="Arial"/>
        </w:rPr>
        <w:t xml:space="preserve">W obecnym stanie prawnym, w przypadku ponoszenia nakładów związanych z koncesjami na poszukiwanie lub rozpoznawanie złóż miedzi oraz srebra, koncesjami na wydobycie miedzi oraz srebra, a także z zakończeniem działalności wydobywczej, podmiot posiada niepełną możliwość rozpoznania nakładów w tym obszarze jako nakładów objętych prawem do tzw. ulgi inwestycyjnej. </w:t>
      </w:r>
    </w:p>
    <w:p w14:paraId="31E8B58D" w14:textId="77777777" w:rsidR="000502DF" w:rsidRPr="000502DF" w:rsidRDefault="000502DF" w:rsidP="000502DF">
      <w:pPr>
        <w:pStyle w:val="Akapitzlist"/>
        <w:numPr>
          <w:ilvl w:val="0"/>
          <w:numId w:val="18"/>
        </w:numPr>
        <w:spacing w:after="0" w:line="300" w:lineRule="auto"/>
        <w:ind w:left="567" w:hanging="425"/>
        <w:jc w:val="both"/>
        <w:rPr>
          <w:rFonts w:ascii="Arial" w:hAnsi="Arial" w:cs="Arial"/>
        </w:rPr>
      </w:pPr>
      <w:r w:rsidRPr="000502DF">
        <w:rPr>
          <w:rFonts w:ascii="Arial" w:hAnsi="Arial" w:cs="Arial"/>
        </w:rPr>
        <w:lastRenderedPageBreak/>
        <w:t>Aktualnie różnice kursowe, w odróżnieniu od odsetek, nie są wyłączone z definicji kwalifikowanych nakładów inwestycyjnych. Jednakże zarówno różnice kursowe jak i odsetki mają charakter wtórny w stosunku do zasadniczego nakładu objętego odliczeniem od podatku i wynikają z przyjętego sposobu finansowania lub rozliczeń walutowych, a nie samego faktu realizacji przedsięwzięcia inwestycyjnego.</w:t>
      </w:r>
    </w:p>
    <w:p w14:paraId="4789AFC6" w14:textId="77777777" w:rsidR="000502DF" w:rsidRPr="000502DF" w:rsidRDefault="000502DF" w:rsidP="000502DF">
      <w:pPr>
        <w:pStyle w:val="Akapitzlist"/>
        <w:numPr>
          <w:ilvl w:val="0"/>
          <w:numId w:val="18"/>
        </w:numPr>
        <w:spacing w:after="0" w:line="300" w:lineRule="auto"/>
        <w:ind w:left="567" w:hanging="425"/>
        <w:jc w:val="both"/>
        <w:rPr>
          <w:rFonts w:ascii="Arial" w:hAnsi="Arial" w:cs="Arial"/>
        </w:rPr>
      </w:pPr>
      <w:r w:rsidRPr="000502DF">
        <w:rPr>
          <w:rFonts w:ascii="Arial" w:hAnsi="Arial" w:cs="Arial"/>
        </w:rPr>
        <w:t>Obowiązujące brzmienie przepisów dotyczących utraty prawa do odliczenia kwalifikowanych nakładów inwestycyjnych w przypadku oddania środków trwałych (lub ich części) do używania innym podmiotom (w okresie 10 lat, licząc od końca roku kalendarzowego, w którym nakłady te zostały poniesione), dotyczy każdego przypadku takiego oddania do używania. W praktyce oznacza to, że utrata prawa do odliczenia kwalifikowanych nakładów inwestycyjnych dotyczących tego środka trwałego następuje także w przypadku gdy składnik majątku jest oddany do używania innemu podmiotowi do realizacji usług na rzecz podatnika i jego działalności wydobywczej.</w:t>
      </w:r>
    </w:p>
    <w:p w14:paraId="082918B3" w14:textId="77777777" w:rsidR="000502DF" w:rsidRPr="000502DF" w:rsidRDefault="000502DF" w:rsidP="000502DF">
      <w:pPr>
        <w:pStyle w:val="Akapitzlist"/>
        <w:numPr>
          <w:ilvl w:val="0"/>
          <w:numId w:val="18"/>
        </w:numPr>
        <w:spacing w:after="0" w:line="300" w:lineRule="auto"/>
        <w:ind w:left="567" w:hanging="425"/>
        <w:jc w:val="both"/>
        <w:rPr>
          <w:rFonts w:ascii="Arial" w:hAnsi="Arial" w:cs="Arial"/>
        </w:rPr>
      </w:pPr>
      <w:r w:rsidRPr="000502DF">
        <w:rPr>
          <w:rFonts w:ascii="Arial" w:hAnsi="Arial" w:cs="Arial"/>
        </w:rPr>
        <w:t xml:space="preserve">Obecnie obowiązujące przepisy ustawy nie precyzują zasad zaokrąglania, podlegających wykazywaniu w deklaracjach i informacjach kwot kwalifikowanych nakładów inwestycyjnych, skumulowanej straty podatkowej ani związanych z nimi odliczeń od podatku. </w:t>
      </w:r>
    </w:p>
    <w:p w14:paraId="2BA52F5E" w14:textId="77777777" w:rsidR="000502DF" w:rsidRPr="000502DF" w:rsidRDefault="000502DF" w:rsidP="000502DF">
      <w:pPr>
        <w:spacing w:after="0" w:line="300" w:lineRule="auto"/>
        <w:jc w:val="both"/>
        <w:rPr>
          <w:rFonts w:ascii="Arial" w:hAnsi="Arial" w:cs="Arial"/>
          <w:b/>
          <w:bCs/>
        </w:rPr>
      </w:pPr>
      <w:r w:rsidRPr="000502DF">
        <w:rPr>
          <w:rFonts w:ascii="Arial" w:hAnsi="Arial" w:cs="Arial"/>
          <w:b/>
          <w:bCs/>
        </w:rPr>
        <w:t>III. Ustawa o autostradach płatnych oraz o Krajowym Funduszu Drogowym oraz ustawa - Prawo ochrony środowiska</w:t>
      </w:r>
    </w:p>
    <w:p w14:paraId="7B1706A8" w14:textId="77777777" w:rsidR="000502DF" w:rsidRPr="000502DF" w:rsidRDefault="000502DF" w:rsidP="000502DF">
      <w:pPr>
        <w:spacing w:after="0" w:line="300" w:lineRule="auto"/>
        <w:jc w:val="both"/>
        <w:rPr>
          <w:rFonts w:ascii="Arial" w:hAnsi="Arial" w:cs="Arial"/>
        </w:rPr>
      </w:pPr>
      <w:r w:rsidRPr="000502DF">
        <w:rPr>
          <w:rFonts w:ascii="Arial" w:hAnsi="Arial" w:cs="Arial"/>
        </w:rPr>
        <w:t>Zgodnie z obecnie obowiązującymi przepisami ustawy naczelnik urzędu celno-skarbowego (NUCS) jest organem właściwym w sprawach opłaty paliwowej/opłaty emisyjnej tylko w przypadku powstania zobowiązania w podatku akcyzowym z tytułu importu. W takiej sytuacji prowadzi on jedno postępowanie i wydaje jedną decyzję obejmującą zarówno podatek akcyzowy, jak i opłatę paliwową/opłatę emisyjną.</w:t>
      </w:r>
    </w:p>
    <w:p w14:paraId="3D674F3F" w14:textId="77777777" w:rsidR="000502DF" w:rsidRPr="000502DF" w:rsidRDefault="000502DF" w:rsidP="000502DF">
      <w:pPr>
        <w:spacing w:after="0" w:line="300" w:lineRule="auto"/>
        <w:jc w:val="both"/>
        <w:rPr>
          <w:rFonts w:ascii="Arial" w:hAnsi="Arial" w:cs="Arial"/>
        </w:rPr>
      </w:pPr>
      <w:r w:rsidRPr="000502DF">
        <w:rPr>
          <w:rFonts w:ascii="Arial" w:hAnsi="Arial" w:cs="Arial"/>
        </w:rPr>
        <w:t>W przypadku zaś powstania zobowiązania podatkowego w podatku akcyzowym z tytułu innego niż import, NUCS nie posiada kompetencji do wydania decyzji w sprawie opłaty paliwowej/opłaty emisyjnej, nawet jeżeli wydał rozstrzygnięcie dotyczące podatku akcyzowego. W takich przypadkach NUCS przekazuje decyzję w zakresie akcyzy do właściwego miejscowo w sprawach akcyzy naczelnika urzędu skarbowego, celem przeprowadzenia odrębnego postępowania dotyczącego opłaty paliwowej/opłaty emisyjnej.</w:t>
      </w:r>
    </w:p>
    <w:p w14:paraId="3F57F33C" w14:textId="77777777" w:rsidR="000502DF" w:rsidRPr="000502DF" w:rsidRDefault="000502DF" w:rsidP="000502DF">
      <w:pPr>
        <w:spacing w:after="0" w:line="300" w:lineRule="auto"/>
        <w:jc w:val="both"/>
        <w:rPr>
          <w:rFonts w:ascii="Arial" w:hAnsi="Arial" w:cs="Arial"/>
        </w:rPr>
      </w:pPr>
      <w:r w:rsidRPr="000502DF">
        <w:rPr>
          <w:rFonts w:ascii="Arial" w:hAnsi="Arial" w:cs="Arial"/>
        </w:rPr>
        <w:t>Mając na względzie ścisły związek opłaty paliwowej oraz opłaty emisyjnej z podatkiem akcyzowym, zasadnym jest, aby wymiar opłaty paliwowej oraz opłaty emisyjnej był dokonywany przez ten sam organ, który rozstrzyga w sprawie podatku akcyzowego.</w:t>
      </w:r>
    </w:p>
    <w:p w14:paraId="2C1B2C59" w14:textId="77777777" w:rsidR="000502DF" w:rsidRPr="000502DF" w:rsidRDefault="000502DF" w:rsidP="000502DF">
      <w:pPr>
        <w:spacing w:after="0" w:line="300" w:lineRule="auto"/>
        <w:jc w:val="both"/>
        <w:rPr>
          <w:rFonts w:ascii="Arial" w:hAnsi="Arial" w:cs="Arial"/>
        </w:rPr>
      </w:pPr>
      <w:r w:rsidRPr="000502DF">
        <w:rPr>
          <w:rFonts w:ascii="Arial" w:hAnsi="Arial" w:cs="Arial"/>
        </w:rPr>
        <w:t>Rekomendowane rozwiązania:</w:t>
      </w:r>
    </w:p>
    <w:p w14:paraId="29812D39" w14:textId="77777777" w:rsidR="000502DF" w:rsidRPr="000502DF" w:rsidRDefault="000502DF" w:rsidP="000502DF">
      <w:pPr>
        <w:spacing w:after="0" w:line="300" w:lineRule="auto"/>
        <w:jc w:val="both"/>
        <w:rPr>
          <w:rFonts w:ascii="Arial" w:hAnsi="Arial" w:cs="Arial"/>
          <w:b/>
          <w:bCs/>
        </w:rPr>
      </w:pPr>
      <w:r w:rsidRPr="000502DF">
        <w:rPr>
          <w:rFonts w:ascii="Arial" w:hAnsi="Arial" w:cs="Arial"/>
          <w:b/>
          <w:bCs/>
        </w:rPr>
        <w:t>I. Ustawa o podatku akcyzowym:</w:t>
      </w:r>
    </w:p>
    <w:p w14:paraId="5BB0A3D8"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Umożliwienie podmiotom dostarczającym paliwo lotnicze stosowania ich własnych systemów informatycznych do zbierania potwierdzeń odbioru zwolnionego od akcyzy paliwa lotniczego dostarczanego na płycie lotniska bezpośrednio do statków powietrznych. Elektroniczna wymiana danych pomiędzy podmiotem wydającym paliwo a linią lotniczą powinna znacznie usprawnić i przyśpieszyć proces wydawania paliw lotniczych na płycie lotniska.</w:t>
      </w:r>
    </w:p>
    <w:p w14:paraId="228A81E4"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 xml:space="preserve">Złagodzenie warunków uzyskania zezwolenia na prowadzenie składu podatkowego typu magazynowego, w którym mają być/są magazynowane różne rodzaje napojów alkoholowych, tj. alkohol etylowy oraz wino i napoje fermentowane, wyroby pośrednie </w:t>
      </w:r>
      <w:r w:rsidRPr="000502DF">
        <w:rPr>
          <w:rFonts w:ascii="Arial" w:hAnsi="Arial" w:cs="Arial"/>
        </w:rPr>
        <w:lastRenderedPageBreak/>
        <w:t>lub piwo. Po zmianie wystarczające będzie osiągnięcie przez podmiot wyższego progu, który będzie uprawniał podmiot do magazynowania innych rodzajów napojów alkoholowych, dla których próg został określony na niższym poziomie.</w:t>
      </w:r>
    </w:p>
    <w:p w14:paraId="36A5DB4D"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Wprowadzenie możliwości odliczenia akcyzy od przeterminowanych napojów alkoholowych pod warunkiem, że zostaną one zniszczone w obecności przedstawiciela naczelnika urzędu celno-skarbowego. Unijne przepisy, tj. art. 25 dyrektywy 92/83/EWG (dyrektywy alkoholowej) dopuszczają możliwość, aby krajowe prawo przewidywało zwrot akcyzy od napojów alkoholowych, które ze względu na stan lub zbyt długi czas przechowywania, nie nadają się już do spożycia.</w:t>
      </w:r>
    </w:p>
    <w:p w14:paraId="13DAD9CA"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Opodatkowanie dodatków do paliw silnikowych stawką akcyzy właściwą dla paliwa silnikowego, do którego dodatki te są dodawane z jednoczesnym uporządkowaniem i doprecyzowaniem zasady ustalania stawki akcyzy w przypadku, gdy te same dodatki lub domieszki do paliw dodawane będą do więcej niż jednego rodzaju paliwa silnikowego lub też zarówno do paliw silnikowych jak i paliw opałowych.</w:t>
      </w:r>
    </w:p>
    <w:p w14:paraId="4DE1D26E"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Odstąpienie od konieczności stosowania Systemu EMCS PL2, jako warunku zastosowania zerowej stawki akcyzy, w przypadku gdy ten sam podmiot ma status zarejestrowanego odbiorcy i zużywającego podmiotu gospodarczego oraz zużywa nabyte wewnątrzwspólnotowo wyroby w miejscu odbioru. W wyniku zmiany taki podmiot będzie mógł skorzystać z zerowej stawki akcyzy bez konieczności fikcyjnego przemieszczania tych wyrobów w Systemie samemu sobie (jako zarejestrowany odbiorca do zużywającego podmiotu gospodarczego), w celu uzyskania preferencji podatkowej. Proponowana zmiana ułatwi podmiotom posiadającym podwójny status prowadzenie działalności gospodarczej.</w:t>
      </w:r>
    </w:p>
    <w:p w14:paraId="6B529AB4"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Uchylenie jako warunku do zastosowania zerowej stawki akcyzy dla biogazu, wodoru i biowodoru, obligatoryjnej produkcji tych wyrobów w składzie podatkowym oraz doprecyzowanie stosowania warunku spełniania przez te wyroby wymagań jakościowych.</w:t>
      </w:r>
    </w:p>
    <w:p w14:paraId="5B05D5F0"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 xml:space="preserve">Wprowadzenie regulacji umożliwiającej doliczenie do ceny zakupu paczki papierosów lub tytoniu do palenia ceny zakupu banderoli legalizacyjnej. </w:t>
      </w:r>
    </w:p>
    <w:p w14:paraId="09ED3D6B"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Wprowadzenie regulacji umożliwiającej obniżenie podstawy opodatkowania akcyzą samochodu osobowego w przypadku opustu lub obniżenia ceny samochodu osobowego, w tym w formie rabatu, jeżeli zostały udzielone do dnia powstania obowiązku podatkowego.</w:t>
      </w:r>
    </w:p>
    <w:p w14:paraId="6D59F48E"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Rozszerzenie zwolnienia od podatku akcyzowego ze względu na przeznaczenie dla wyrobów akcyzowych używanych do statków powietrznych o paliwo typu benzyny do silników spalinowych o kodzie CN 2710 12 45 (NATO F-67). Zmiana pozwoli na przejrzyste i bardziej efektywne zarządzanie gospodarką paliwową w Siłach Zbrojnych RP, a w efekcie przyczyni się do skutecznego i dynamicznego rozwoju Sił Zbrojnych RP.</w:t>
      </w:r>
    </w:p>
    <w:p w14:paraId="2F07DEC1"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 xml:space="preserve">Techniczne doprecyzowanie  przepisu dotyczącego zmiany miejsca przeznaczenia wyrobów akcyzowych w trakcie ich przemieszczania w Systemie EMCS PL2 poprzez jednoznaczne wskazanie, że w przypadku dokumentu e-SAD zmiana miejsca przeznaczenia może dotyczyć wyłącznie miejsca odbioru wyrobów, bez zmiany podmiotu odbierającego. </w:t>
      </w:r>
    </w:p>
    <w:p w14:paraId="5BF94CA2"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lastRenderedPageBreak/>
        <w:t>Doprecyzowanie delegacji ustawowej pozwalającej ministrowi właściwemu do spraw finansów publicznych określić w drodze rozporządzenia wzór wniosku o wskazanie sposobu nanoszenia znaków akcyzy na nietypowe opakowania jednostkowe wyrobów akcyzowych, poprzez dodanie możliwości stosowania tego wzoru także do wyrobów akcyzowych, a nie tylko do ich nietypowych opakowań.</w:t>
      </w:r>
    </w:p>
    <w:p w14:paraId="05FDB760"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 xml:space="preserve">Uzupełnienie przepisów dotyczących podziału przemieszczenia wyrobów energetycznych w transporcie kolejowym, poprzez wprowadzenie możliwości stosowania na terytorium kraju dokumentów zastępujących powiadomienia o podziale przemieszczenia w przypadku niedostępności Systemu EMCS PL2. Rozwiązanie to zapewni ciągłość przemieszczania wyrobów akcyzowych oraz ograniczy ryzyko zakłóceń w działalności przedsiębiorców.  </w:t>
      </w:r>
    </w:p>
    <w:p w14:paraId="71708D27"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 xml:space="preserve">Zmiana przepisu dotyczącego jednostki współpracy administracyjnej w dziedzinie akcyzy (ELO) poprzez aktualizację odesłania do obowiązującego obecnie rozporządzenia unijnego w tym zakresie. Celem projektowanej zmiany jest zapewnienie zgodności i aktualności odesłań do przepisów unijnych regulujących współpracę administracyjną w dziedzinie podatku akcyzowego.  </w:t>
      </w:r>
    </w:p>
    <w:p w14:paraId="05E4029D"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Rozszerzenie katalogu przypadków, w których nie uznaje się za produkcję wyrobów energetycznych sytuacji polegającej na uzyskiwaniu niewielkiej ilości wyrobów energetycznych jako produktu ubocznego w procesie wytwarzania wyrobów niebędących wyrobami akcyzowymi, a następnie ich zużycia na potrzeby prowadzonej działalności gospodarczej.</w:t>
      </w:r>
    </w:p>
    <w:p w14:paraId="1744F4D0"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Wprowadzenie możliwości cofnięcia numeru akcyzowego uprawnionego wysyłającego oraz numeru akcyzowego uprawnionego odbiorcy na wniosek podmiotu – w przypadku gdy nie zamierza on dalej prowadzić działalności w tym zakresie. W wyniku zmiany podmiot będzie mógł złożyć wniosek (przez PUESC) o cofnięcie numeru akcyzowego uprawnionego wysyłającego/uprawnionego odbiorcy, a cofnięcia numeru akcyzowego będzie dokonywał właściwy dyrektor izby administracji skarbowej (w formie czynności materialno-technicznej w systemie SZPROT PLUS).</w:t>
      </w:r>
    </w:p>
    <w:p w14:paraId="4B7096BE" w14:textId="77777777" w:rsidR="000502DF" w:rsidRPr="000502DF" w:rsidRDefault="000502DF" w:rsidP="000502DF">
      <w:pPr>
        <w:pStyle w:val="Akapitzlist"/>
        <w:numPr>
          <w:ilvl w:val="0"/>
          <w:numId w:val="19"/>
        </w:numPr>
        <w:spacing w:after="0" w:line="300" w:lineRule="auto"/>
        <w:ind w:left="567" w:hanging="425"/>
        <w:jc w:val="both"/>
        <w:rPr>
          <w:rFonts w:ascii="Arial" w:hAnsi="Arial" w:cs="Arial"/>
        </w:rPr>
      </w:pPr>
      <w:r w:rsidRPr="000502DF">
        <w:rPr>
          <w:rFonts w:ascii="Arial" w:hAnsi="Arial" w:cs="Arial"/>
        </w:rPr>
        <w:t>Dodanie regulacji, zgodnie z którą nie uznaje się za produkcję wyrobów energetycznych mieszania poza składem podatkowym w jednym zbiorniku gotowego, przeznaczonego do napędu silników spalinowych skroplonego biometanu pochodzenia biologicznego o kodzie CN 2711 19 00 oraz gotowego, przeznaczonego do napędu silników spalinowych skroplonego gazu ziemnego pochodzenia kopalnego o kodzie CN 2711 11 00. Dzięki temu przedsiębiorcy będą mogli dostarczać gotowy, skroplony biometan pochodzenia biologicznego o kodzie CN 2711 19 00 (bioLNG) przeznaczony do napędu silników spalinowych do znajdujących się poza składem podatkowym zbiorników, do których ci sami albo inni przedsiębiorcy dostarczają również gotowy, skroplony gaz ziemny pochodzenia kopalnego o kodzie CN 2711 11 00 (LNG) przeznaczony do napędu silników spalinowych. Regulacja ta powinna ułatwić działalność przedsiębiorcom i przyczynić się do rozwoju rynku bioLNG w Polsce.</w:t>
      </w:r>
    </w:p>
    <w:p w14:paraId="3953E64B" w14:textId="77777777" w:rsidR="000502DF" w:rsidRPr="000502DF" w:rsidRDefault="000502DF" w:rsidP="000502DF">
      <w:pPr>
        <w:spacing w:after="0" w:line="300" w:lineRule="auto"/>
        <w:jc w:val="both"/>
        <w:rPr>
          <w:rFonts w:ascii="Arial" w:hAnsi="Arial" w:cs="Arial"/>
          <w:b/>
          <w:bCs/>
        </w:rPr>
      </w:pPr>
      <w:r w:rsidRPr="000502DF">
        <w:rPr>
          <w:rFonts w:ascii="Arial" w:hAnsi="Arial" w:cs="Arial"/>
          <w:b/>
          <w:bCs/>
        </w:rPr>
        <w:t>II. Ustawa o podatku od wydobycia niektórych kopalin:</w:t>
      </w:r>
    </w:p>
    <w:p w14:paraId="62B69AF8" w14:textId="77777777" w:rsidR="000502DF" w:rsidRPr="000502DF" w:rsidRDefault="000502DF" w:rsidP="000502DF">
      <w:pPr>
        <w:pStyle w:val="Akapitzlist"/>
        <w:numPr>
          <w:ilvl w:val="0"/>
          <w:numId w:val="20"/>
        </w:numPr>
        <w:spacing w:after="0" w:line="300" w:lineRule="auto"/>
        <w:ind w:left="567" w:hanging="425"/>
        <w:jc w:val="both"/>
        <w:rPr>
          <w:rFonts w:ascii="Arial" w:hAnsi="Arial" w:cs="Arial"/>
        </w:rPr>
      </w:pPr>
      <w:r w:rsidRPr="000502DF">
        <w:rPr>
          <w:rFonts w:ascii="Arial" w:hAnsi="Arial" w:cs="Arial"/>
        </w:rPr>
        <w:t xml:space="preserve">W przypadku ponoszenia nakładów związanych z: koncesjami na poszukiwanie lub rozpoznawanie złóż miedzi oraz srebra, koncesjami na wydobycie miedzi oraz srebra, a </w:t>
      </w:r>
      <w:r w:rsidRPr="000502DF">
        <w:rPr>
          <w:rFonts w:ascii="Arial" w:hAnsi="Arial" w:cs="Arial"/>
        </w:rPr>
        <w:lastRenderedPageBreak/>
        <w:t>także z zakończeniem działalności wydobywczej, nowelizacja umożliwi rozpoznanie nakładów w tym obszarze jako nakładów objętych prawem do tzw. ulgi inwestycyjnej.</w:t>
      </w:r>
    </w:p>
    <w:p w14:paraId="12640020" w14:textId="77777777" w:rsidR="000502DF" w:rsidRPr="000502DF" w:rsidRDefault="000502DF" w:rsidP="000502DF">
      <w:pPr>
        <w:pStyle w:val="Akapitzlist"/>
        <w:numPr>
          <w:ilvl w:val="0"/>
          <w:numId w:val="20"/>
        </w:numPr>
        <w:spacing w:after="0" w:line="300" w:lineRule="auto"/>
        <w:ind w:left="567" w:hanging="425"/>
        <w:jc w:val="both"/>
        <w:rPr>
          <w:rFonts w:ascii="Arial" w:hAnsi="Arial" w:cs="Arial"/>
        </w:rPr>
      </w:pPr>
      <w:r w:rsidRPr="000502DF">
        <w:rPr>
          <w:rFonts w:ascii="Arial" w:hAnsi="Arial" w:cs="Arial"/>
        </w:rPr>
        <w:t xml:space="preserve">Nowelizacja wyłączy różnice kursowe z definicji kwalifikowanych nakładów inwestycyjnych, tak jak ma to miejsce w przypadku odsetek, co ujednolici zasady traktowania nakładów o wtórnym charakterze w stosunku do zasadniczego nakładu objętego odliczeniem od podatku. </w:t>
      </w:r>
    </w:p>
    <w:p w14:paraId="216591E9" w14:textId="77777777" w:rsidR="000502DF" w:rsidRPr="000502DF" w:rsidRDefault="000502DF" w:rsidP="000502DF">
      <w:pPr>
        <w:pStyle w:val="Akapitzlist"/>
        <w:numPr>
          <w:ilvl w:val="0"/>
          <w:numId w:val="20"/>
        </w:numPr>
        <w:spacing w:after="0" w:line="300" w:lineRule="auto"/>
        <w:ind w:left="567" w:hanging="425"/>
        <w:jc w:val="both"/>
        <w:rPr>
          <w:rFonts w:ascii="Arial" w:hAnsi="Arial" w:cs="Arial"/>
        </w:rPr>
      </w:pPr>
      <w:r w:rsidRPr="000502DF">
        <w:rPr>
          <w:rFonts w:ascii="Arial" w:hAnsi="Arial" w:cs="Arial"/>
        </w:rPr>
        <w:t>Wprowadzane doprecyzowanie przepisów zmodyfikuje zasadę utraty prawa do odliczenia kwalifikowanych nakładów inwestycyjnych w przypadku oddania środków trwałych (lub ich części) do używania innym podmiotom w okresie 10 lat licząc od końca roku kalendarzowego, w którym nakłady zostały poniesione. Z zasady tej wyłączone zostanie oddanie środków trwałych (lub ich części) do używania innym podmiotom, gdy to oddanie do używania ma charakter pomocniczy w stosunku do działalności prowadzonej przez podatnika.</w:t>
      </w:r>
    </w:p>
    <w:p w14:paraId="509B59A8" w14:textId="77777777" w:rsidR="000502DF" w:rsidRPr="000502DF" w:rsidRDefault="000502DF" w:rsidP="000502DF">
      <w:pPr>
        <w:pStyle w:val="Akapitzlist"/>
        <w:numPr>
          <w:ilvl w:val="0"/>
          <w:numId w:val="20"/>
        </w:numPr>
        <w:spacing w:after="0" w:line="300" w:lineRule="auto"/>
        <w:ind w:left="567" w:hanging="425"/>
        <w:jc w:val="both"/>
        <w:rPr>
          <w:rFonts w:ascii="Arial" w:hAnsi="Arial" w:cs="Arial"/>
        </w:rPr>
      </w:pPr>
      <w:r w:rsidRPr="000502DF">
        <w:rPr>
          <w:rFonts w:ascii="Arial" w:hAnsi="Arial" w:cs="Arial"/>
        </w:rPr>
        <w:t xml:space="preserve">Nowelizacja dookreśli, że w przypadku wykazywanych w deklaracjach i informacjach kwot kwalifikowanych nakładów inwestycyjnych, skumulowanej straty podatkowej oraz związanych z nimi odliczeń od podatku, zastosowanie ma zasada zaokrąglania analogiczna do zasady zawartej w art. 63 §  1 ustawy - Ordynacja Podatkowa.  Zgodnie z tą zasadą końcówki kwot wynoszące mniej niż 50 groszy pomija się, a końcówki kwot wynoszące 50 i więcej groszy podwyższa się do pełnych złotych. </w:t>
      </w:r>
    </w:p>
    <w:p w14:paraId="72CB5CD7" w14:textId="77777777" w:rsidR="000502DF" w:rsidRPr="000502DF" w:rsidRDefault="000502DF" w:rsidP="000502DF">
      <w:pPr>
        <w:spacing w:after="0" w:line="300" w:lineRule="auto"/>
        <w:jc w:val="both"/>
        <w:rPr>
          <w:rFonts w:ascii="Arial" w:hAnsi="Arial" w:cs="Arial"/>
          <w:b/>
          <w:bCs/>
        </w:rPr>
      </w:pPr>
      <w:r w:rsidRPr="000502DF">
        <w:rPr>
          <w:rFonts w:ascii="Arial" w:hAnsi="Arial" w:cs="Arial"/>
          <w:b/>
          <w:bCs/>
        </w:rPr>
        <w:t>III. Ustawa o autostradach płatnych oraz o Krajowym Funduszu Drogowym oraz ustawa – Prawo ochrony środowiska:</w:t>
      </w:r>
    </w:p>
    <w:p w14:paraId="7EB5AA00" w14:textId="77777777" w:rsidR="000502DF" w:rsidRPr="000502DF" w:rsidRDefault="000502DF" w:rsidP="000502DF">
      <w:pPr>
        <w:spacing w:after="0" w:line="300" w:lineRule="auto"/>
        <w:jc w:val="both"/>
        <w:rPr>
          <w:rFonts w:ascii="Arial" w:hAnsi="Arial" w:cs="Arial"/>
        </w:rPr>
      </w:pPr>
      <w:r w:rsidRPr="000502DF">
        <w:rPr>
          <w:rFonts w:ascii="Arial" w:hAnsi="Arial" w:cs="Arial"/>
        </w:rPr>
        <w:t>Przyznanie kompetencji do określania prawidłowej wysokości odpowiednio opłaty paliwowej oraz opłaty emisyjnej naczelnikowi urzędu celno</w:t>
      </w:r>
      <w:r w:rsidRPr="000502DF">
        <w:rPr>
          <w:rFonts w:ascii="Cambria Math" w:hAnsi="Cambria Math" w:cs="Cambria Math"/>
        </w:rPr>
        <w:t>‑</w:t>
      </w:r>
      <w:r w:rsidRPr="000502DF">
        <w:rPr>
          <w:rFonts w:ascii="Arial" w:hAnsi="Arial" w:cs="Arial"/>
        </w:rPr>
        <w:t>skarbowego, który wydał decyzję określającą zobowiązanie w podatku akcyzowym od paliw silnikowych lub gazu.</w:t>
      </w:r>
    </w:p>
    <w:p w14:paraId="251768B7" w14:textId="77777777" w:rsidR="000502DF" w:rsidRPr="000502DF" w:rsidRDefault="000502DF" w:rsidP="000077C7">
      <w:pPr>
        <w:spacing w:after="0" w:line="300" w:lineRule="auto"/>
        <w:jc w:val="both"/>
        <w:rPr>
          <w:rFonts w:ascii="Arial" w:hAnsi="Arial" w:cs="Arial"/>
        </w:rPr>
      </w:pPr>
    </w:p>
    <w:p w14:paraId="21637FF2" w14:textId="77777777" w:rsidR="000502DF" w:rsidRPr="000502DF" w:rsidRDefault="000502DF" w:rsidP="000502DF">
      <w:pPr>
        <w:spacing w:after="0" w:line="300" w:lineRule="auto"/>
        <w:jc w:val="both"/>
        <w:rPr>
          <w:rFonts w:ascii="Arial" w:hAnsi="Arial" w:cs="Arial"/>
        </w:rPr>
      </w:pPr>
      <w:r w:rsidRPr="000502DF">
        <w:rPr>
          <w:rFonts w:ascii="Arial" w:hAnsi="Arial" w:cs="Arial"/>
        </w:rPr>
        <w:t xml:space="preserve">Przedmiotowy projekt aktu prawnego wraz z Uzasadnieniem oraz Oceną Skutków Regulacji dostępny jest na stronach Rządowego Centrum Legislacji pod adresem: </w:t>
      </w:r>
    </w:p>
    <w:p w14:paraId="6D4DCAC0" w14:textId="3302CEE3" w:rsidR="000502DF" w:rsidRDefault="000502DF" w:rsidP="000502DF">
      <w:pPr>
        <w:spacing w:after="0" w:line="300" w:lineRule="auto"/>
        <w:jc w:val="both"/>
        <w:rPr>
          <w:rFonts w:ascii="Arial" w:hAnsi="Arial" w:cs="Arial"/>
        </w:rPr>
      </w:pPr>
      <w:hyperlink r:id="rId9" w:history="1">
        <w:r w:rsidRPr="00627031">
          <w:rPr>
            <w:rStyle w:val="Hipercze"/>
            <w:rFonts w:ascii="Arial" w:hAnsi="Arial" w:cs="Arial"/>
          </w:rPr>
          <w:t>https://legislacja.rcl.gov.pl/projekt/</w:t>
        </w:r>
        <w:r w:rsidRPr="00627031">
          <w:rPr>
            <w:rStyle w:val="Hipercze"/>
            <w:rFonts w:ascii="Arial" w:hAnsi="Arial" w:cs="Arial"/>
          </w:rPr>
          <w:t>1</w:t>
        </w:r>
        <w:r w:rsidRPr="00627031">
          <w:rPr>
            <w:rStyle w:val="Hipercze"/>
            <w:rFonts w:ascii="Arial" w:hAnsi="Arial" w:cs="Arial"/>
          </w:rPr>
          <w:t>2415251/katalog/13229316#13229316</w:t>
        </w:r>
      </w:hyperlink>
      <w:r>
        <w:rPr>
          <w:rFonts w:ascii="Arial" w:hAnsi="Arial" w:cs="Arial"/>
        </w:rPr>
        <w:t xml:space="preserve"> </w:t>
      </w:r>
    </w:p>
    <w:p w14:paraId="63883972" w14:textId="77777777" w:rsidR="000502DF" w:rsidRDefault="000502DF" w:rsidP="000077C7">
      <w:pPr>
        <w:spacing w:after="0" w:line="300" w:lineRule="auto"/>
        <w:jc w:val="both"/>
        <w:rPr>
          <w:rFonts w:ascii="Arial" w:hAnsi="Arial" w:cs="Arial"/>
        </w:rPr>
      </w:pPr>
    </w:p>
    <w:p w14:paraId="4F5CDA51" w14:textId="6D226532" w:rsidR="000502DF" w:rsidRDefault="000502DF" w:rsidP="000077C7">
      <w:pPr>
        <w:spacing w:after="0" w:line="300" w:lineRule="auto"/>
        <w:jc w:val="both"/>
        <w:rPr>
          <w:rFonts w:ascii="Arial" w:hAnsi="Arial" w:cs="Arial"/>
        </w:rPr>
      </w:pPr>
      <w:r w:rsidRPr="000502DF">
        <w:rPr>
          <w:rFonts w:ascii="Arial" w:hAnsi="Arial" w:cs="Arial"/>
        </w:rPr>
        <w:t>Projekt jest obecnie jednocześnie na etapie uzgodnień, konsultacji publicznych i opiniowania.</w:t>
      </w:r>
    </w:p>
    <w:p w14:paraId="2F076D8B" w14:textId="77777777" w:rsidR="000502DF" w:rsidRPr="000502DF" w:rsidRDefault="000502DF" w:rsidP="000077C7">
      <w:pPr>
        <w:spacing w:after="0" w:line="300" w:lineRule="auto"/>
        <w:jc w:val="both"/>
        <w:rPr>
          <w:rFonts w:ascii="Arial" w:hAnsi="Arial" w:cs="Arial"/>
        </w:rPr>
      </w:pPr>
    </w:p>
    <w:p w14:paraId="59EA0B5E" w14:textId="77777777" w:rsidR="000077C7" w:rsidRDefault="000077C7" w:rsidP="000077C7">
      <w:pPr>
        <w:spacing w:after="0" w:line="300" w:lineRule="auto"/>
        <w:jc w:val="both"/>
        <w:rPr>
          <w:rFonts w:ascii="Arial" w:hAnsi="Arial" w:cs="Arial"/>
        </w:rPr>
      </w:pPr>
      <w:r>
        <w:rPr>
          <w:rFonts w:ascii="Arial" w:hAnsi="Arial" w:cs="Arial"/>
        </w:rPr>
        <w:t>Projekty rozporządzeń:</w:t>
      </w:r>
    </w:p>
    <w:p w14:paraId="05BB0DE1" w14:textId="77777777" w:rsidR="00967802" w:rsidRDefault="00967802" w:rsidP="000077C7">
      <w:pPr>
        <w:spacing w:after="0" w:line="300" w:lineRule="auto"/>
        <w:jc w:val="both"/>
        <w:rPr>
          <w:rFonts w:ascii="Arial" w:hAnsi="Arial" w:cs="Arial"/>
        </w:rPr>
      </w:pPr>
    </w:p>
    <w:p w14:paraId="1EB108B0" w14:textId="2898D64F" w:rsidR="00967802" w:rsidRPr="0062077E" w:rsidRDefault="0062077E" w:rsidP="0062077E">
      <w:pPr>
        <w:pStyle w:val="Akapitzlist"/>
        <w:numPr>
          <w:ilvl w:val="0"/>
          <w:numId w:val="4"/>
        </w:numPr>
        <w:spacing w:after="0" w:line="300" w:lineRule="auto"/>
        <w:jc w:val="both"/>
        <w:rPr>
          <w:rFonts w:ascii="Arial" w:hAnsi="Arial" w:cs="Arial"/>
          <w:b/>
          <w:bCs/>
          <w:u w:val="single"/>
        </w:rPr>
      </w:pPr>
      <w:r w:rsidRPr="0062077E">
        <w:rPr>
          <w:rFonts w:ascii="Arial" w:hAnsi="Arial" w:cs="Arial"/>
          <w:b/>
          <w:bCs/>
          <w:u w:val="single"/>
        </w:rPr>
        <w:t>P</w:t>
      </w:r>
      <w:r w:rsidRPr="0062077E">
        <w:rPr>
          <w:rFonts w:ascii="Arial" w:hAnsi="Arial" w:cs="Arial"/>
          <w:b/>
          <w:bCs/>
          <w:u w:val="single"/>
        </w:rPr>
        <w:t>rojekt rozporządzenia Ministra Finansów i Gospodarki zmieniającego rozporządzenie w sprawie sposobu przesyłania deklaracji i podań oraz rodzajów podpisu elektronicznego, którymi powinny być opatrzone (132/2026).</w:t>
      </w:r>
    </w:p>
    <w:p w14:paraId="46BDEE43" w14:textId="77777777" w:rsidR="00967802" w:rsidRPr="0062077E" w:rsidRDefault="00967802" w:rsidP="0062077E">
      <w:pPr>
        <w:spacing w:after="0" w:line="300" w:lineRule="auto"/>
        <w:jc w:val="both"/>
        <w:rPr>
          <w:rFonts w:ascii="Arial" w:hAnsi="Arial" w:cs="Arial"/>
        </w:rPr>
      </w:pPr>
    </w:p>
    <w:p w14:paraId="19590F06" w14:textId="77777777" w:rsidR="0062077E" w:rsidRPr="0062077E" w:rsidRDefault="0062077E" w:rsidP="0062077E">
      <w:pPr>
        <w:spacing w:after="0" w:line="300" w:lineRule="auto"/>
        <w:jc w:val="both"/>
        <w:rPr>
          <w:rFonts w:ascii="Arial" w:hAnsi="Arial" w:cs="Arial"/>
        </w:rPr>
      </w:pPr>
      <w:r w:rsidRPr="0062077E">
        <w:rPr>
          <w:rFonts w:ascii="Arial" w:hAnsi="Arial" w:cs="Arial"/>
        </w:rPr>
        <w:t xml:space="preserve">Z dniem 1 stycznia 2027 r. wchodzą w życie przepisy ustawy z dnia 3 lipca 2026 r. o osobistych kontach inwestycyjnych (Dz. U. poz. 1098; dalej: „ustawa o OKI”). Ustawa ta nadaje nowe brzmienie art. 3b § 2 Ordynacji podatkowej, który to przepis stanowi delegację ustawową do wydania nowelizowanego rozporządzenia. Zmiana delegacji ustawowej polega na dodaniu informacji podatkowych do katalogu pism objętych zakresem tej delegacji. </w:t>
      </w:r>
    </w:p>
    <w:p w14:paraId="08A21B6C" w14:textId="77777777" w:rsidR="0062077E" w:rsidRPr="0062077E" w:rsidRDefault="0062077E" w:rsidP="0062077E">
      <w:pPr>
        <w:spacing w:after="0" w:line="300" w:lineRule="auto"/>
        <w:jc w:val="both"/>
        <w:rPr>
          <w:rFonts w:ascii="Arial" w:hAnsi="Arial" w:cs="Arial"/>
        </w:rPr>
      </w:pPr>
      <w:r w:rsidRPr="0062077E">
        <w:rPr>
          <w:rFonts w:ascii="Arial" w:hAnsi="Arial" w:cs="Arial"/>
        </w:rPr>
        <w:lastRenderedPageBreak/>
        <w:t xml:space="preserve">Brak jednolitych zapisów w przepisach prawa podatkowego, zawierających regulację wskazującą miejsce udostępniania wzorów dokumentów elektronicznych deklaracji, informacji podatkowych i podań. </w:t>
      </w:r>
    </w:p>
    <w:p w14:paraId="4E02A13A" w14:textId="77777777" w:rsidR="0062077E" w:rsidRPr="0062077E" w:rsidRDefault="0062077E" w:rsidP="0062077E">
      <w:pPr>
        <w:spacing w:after="0" w:line="300" w:lineRule="auto"/>
        <w:jc w:val="both"/>
        <w:rPr>
          <w:rFonts w:ascii="Arial" w:hAnsi="Arial" w:cs="Arial"/>
        </w:rPr>
      </w:pPr>
      <w:r w:rsidRPr="0062077E">
        <w:rPr>
          <w:rFonts w:ascii="Arial" w:hAnsi="Arial" w:cs="Arial"/>
        </w:rPr>
        <w:t>W wyniku nowelizacji ustawy z dnia 11 marca 2004 r. o podatku od towarów i usług (Dz. U. z 2025 r. poz. 775, z późn. zm.; projekt ustawy o zmianie ustawy o podatku od towarów i usług - druk sejmowy nr 2838) zostanie wprowadzona nowa deklaracja miesięczna o podatku od towarów i usług rozliczanym w szczególnej procedurze dotyczącej deklarowania i zapłaty tego podatku z tytułu importu towarów (DUSZ). Deklaracja ta ma być opatrywana kwalifikowanym podpisem elektronicznym, podpisem elektronicznym weryfikowanym za pomocą certyfikatu celnego, podpisem zaufanym albo podpisem osobistym.</w:t>
      </w:r>
    </w:p>
    <w:p w14:paraId="55F0013D" w14:textId="77777777" w:rsidR="0062077E" w:rsidRPr="0062077E" w:rsidRDefault="0062077E" w:rsidP="0062077E">
      <w:pPr>
        <w:spacing w:after="0" w:line="300" w:lineRule="auto"/>
        <w:jc w:val="both"/>
        <w:rPr>
          <w:rFonts w:ascii="Arial" w:hAnsi="Arial" w:cs="Arial"/>
        </w:rPr>
      </w:pPr>
      <w:r w:rsidRPr="0062077E">
        <w:rPr>
          <w:rFonts w:ascii="Arial" w:hAnsi="Arial" w:cs="Arial"/>
        </w:rPr>
        <w:t>Rozporządzenie Ministra Rozwoju i Finansów z dnia 19 września 2017 r. w sprawie sposobu przesyłania deklaracji i podań oraz rodzajów podpisu elektronicznego, którymi powinny być opatrzone (Dz. U. z 2025 r. poz. 327, z późn. zm.) w swojej treści nie uwzględnia nowej deklaracji.</w:t>
      </w:r>
    </w:p>
    <w:p w14:paraId="736C72D3" w14:textId="77777777" w:rsidR="0062077E" w:rsidRPr="0062077E" w:rsidRDefault="0062077E" w:rsidP="0062077E">
      <w:pPr>
        <w:spacing w:after="0" w:line="300" w:lineRule="auto"/>
        <w:jc w:val="both"/>
        <w:rPr>
          <w:rFonts w:ascii="Arial" w:hAnsi="Arial" w:cs="Arial"/>
        </w:rPr>
      </w:pPr>
      <w:r w:rsidRPr="0062077E">
        <w:rPr>
          <w:rFonts w:ascii="Arial" w:hAnsi="Arial" w:cs="Arial"/>
        </w:rPr>
        <w:t>Rekomendowane rozwiązania:</w:t>
      </w:r>
    </w:p>
    <w:p w14:paraId="227DF78C" w14:textId="77777777" w:rsidR="0062077E" w:rsidRPr="0062077E" w:rsidRDefault="0062077E" w:rsidP="0062077E">
      <w:pPr>
        <w:spacing w:after="0" w:line="300" w:lineRule="auto"/>
        <w:jc w:val="both"/>
        <w:rPr>
          <w:rFonts w:ascii="Arial" w:hAnsi="Arial" w:cs="Arial"/>
        </w:rPr>
      </w:pPr>
      <w:r w:rsidRPr="0062077E">
        <w:rPr>
          <w:rFonts w:ascii="Arial" w:hAnsi="Arial" w:cs="Arial"/>
        </w:rPr>
        <w:t>Dostosowanie treści przepisów rozporządzenia nowelizowanego do zmian wprowadzonych ustawą o OKI, w szczególności polegające na dodaniu informacji podatkowych do katalogu pism objętych zakresem tego rozporządzenia.</w:t>
      </w:r>
    </w:p>
    <w:p w14:paraId="558E891B" w14:textId="77777777" w:rsidR="0062077E" w:rsidRPr="0062077E" w:rsidRDefault="0062077E" w:rsidP="0062077E">
      <w:pPr>
        <w:spacing w:after="0" w:line="300" w:lineRule="auto"/>
        <w:jc w:val="both"/>
        <w:rPr>
          <w:rFonts w:ascii="Arial" w:hAnsi="Arial" w:cs="Arial"/>
        </w:rPr>
      </w:pPr>
      <w:r w:rsidRPr="0062077E">
        <w:rPr>
          <w:rFonts w:ascii="Arial" w:hAnsi="Arial" w:cs="Arial"/>
        </w:rPr>
        <w:t>Wprowadzenie w odniesieniu do dokumentów przesyłanych przez PUESC przepisu analogicznego do funkcjonującego już w § 2 ust. 5 rozporządzenia nowelizowanego, co również będzie stanowiło uspójnienie z treścią § 4 ust. 2 rozporządzenia Ministra Finansów i Gospodarki z dnia 26 czerwca 2026 r. w sprawie informacji o wysokości kwalifikowanych nakładów inwestycyjnych (Dz.U. poz. 883).</w:t>
      </w:r>
    </w:p>
    <w:p w14:paraId="582EA314" w14:textId="77777777" w:rsidR="0062077E" w:rsidRPr="0062077E" w:rsidRDefault="0062077E" w:rsidP="0062077E">
      <w:pPr>
        <w:spacing w:after="0" w:line="300" w:lineRule="auto"/>
        <w:jc w:val="both"/>
        <w:rPr>
          <w:rFonts w:ascii="Arial" w:hAnsi="Arial" w:cs="Arial"/>
        </w:rPr>
      </w:pPr>
      <w:r w:rsidRPr="0062077E">
        <w:rPr>
          <w:rFonts w:ascii="Arial" w:hAnsi="Arial" w:cs="Arial"/>
        </w:rPr>
        <w:t>Poszerzenie katalogu dokumentów, które mogą być opatrywane poszczególnymi rodzajami podpisów elektronicznych poprzez włączenie nowej deklaracji miesięcznej o podatku od towarów i usług rozliczanym w szczególnej procedurze dotyczącej deklarowania i zapłaty tego podatku z tytułu importu towarów (DUSZ) do grupy dokumentów, które mogą być opatrywane:</w:t>
      </w:r>
    </w:p>
    <w:p w14:paraId="1033210B" w14:textId="77777777" w:rsidR="0062077E" w:rsidRPr="0062077E" w:rsidRDefault="0062077E" w:rsidP="0062077E">
      <w:pPr>
        <w:pStyle w:val="Akapitzlist"/>
        <w:numPr>
          <w:ilvl w:val="0"/>
          <w:numId w:val="12"/>
        </w:numPr>
        <w:spacing w:after="0" w:line="300" w:lineRule="auto"/>
        <w:jc w:val="both"/>
        <w:rPr>
          <w:rFonts w:ascii="Arial" w:hAnsi="Arial" w:cs="Arial"/>
        </w:rPr>
      </w:pPr>
      <w:r w:rsidRPr="0062077E">
        <w:rPr>
          <w:rFonts w:ascii="Arial" w:hAnsi="Arial" w:cs="Arial"/>
        </w:rPr>
        <w:t xml:space="preserve">podpisem elektronicznym weryfikowanym przy pomocy certyfikatu celnego (§ 8 zmienianego rozporządzenia), </w:t>
      </w:r>
    </w:p>
    <w:p w14:paraId="14875041" w14:textId="77777777" w:rsidR="0062077E" w:rsidRPr="0062077E" w:rsidRDefault="0062077E" w:rsidP="0062077E">
      <w:pPr>
        <w:pStyle w:val="Akapitzlist"/>
        <w:numPr>
          <w:ilvl w:val="0"/>
          <w:numId w:val="12"/>
        </w:numPr>
        <w:spacing w:after="0" w:line="300" w:lineRule="auto"/>
        <w:jc w:val="both"/>
        <w:rPr>
          <w:rFonts w:ascii="Arial" w:hAnsi="Arial" w:cs="Arial"/>
        </w:rPr>
      </w:pPr>
      <w:r w:rsidRPr="0062077E">
        <w:rPr>
          <w:rFonts w:ascii="Arial" w:hAnsi="Arial" w:cs="Arial"/>
        </w:rPr>
        <w:t>podpisem zaufanym albo podpisem osobistym (§ 10 zmienianego rozporządzenia).</w:t>
      </w:r>
    </w:p>
    <w:p w14:paraId="55930AF6" w14:textId="77777777" w:rsidR="0062077E" w:rsidRPr="0062077E" w:rsidRDefault="0062077E" w:rsidP="0062077E">
      <w:pPr>
        <w:spacing w:after="0" w:line="300" w:lineRule="auto"/>
        <w:jc w:val="both"/>
        <w:rPr>
          <w:rFonts w:ascii="Arial" w:hAnsi="Arial" w:cs="Arial"/>
        </w:rPr>
      </w:pPr>
    </w:p>
    <w:p w14:paraId="13489561" w14:textId="77777777" w:rsidR="0062077E" w:rsidRPr="0062077E" w:rsidRDefault="0062077E" w:rsidP="0062077E">
      <w:pPr>
        <w:spacing w:after="0" w:line="300" w:lineRule="auto"/>
        <w:jc w:val="both"/>
        <w:rPr>
          <w:rFonts w:ascii="Arial" w:hAnsi="Arial" w:cs="Arial"/>
        </w:rPr>
      </w:pPr>
      <w:r w:rsidRPr="0062077E">
        <w:rPr>
          <w:rFonts w:ascii="Arial" w:hAnsi="Arial" w:cs="Arial"/>
        </w:rPr>
        <w:t xml:space="preserve">Przedmiotowy projekt aktu prawnego wraz z Uzasadnieniem oraz Oceną Skutków Regulacji dostępny jest na stronach Rządowego Centrum Legislacji pod adresem: </w:t>
      </w:r>
    </w:p>
    <w:p w14:paraId="12DB0FA7" w14:textId="1613CF1D" w:rsidR="0062077E" w:rsidRDefault="0062077E" w:rsidP="0062077E">
      <w:pPr>
        <w:spacing w:after="0" w:line="300" w:lineRule="auto"/>
        <w:jc w:val="both"/>
        <w:rPr>
          <w:rFonts w:ascii="Arial" w:hAnsi="Arial" w:cs="Arial"/>
        </w:rPr>
      </w:pPr>
      <w:hyperlink r:id="rId10" w:history="1">
        <w:r w:rsidRPr="00627031">
          <w:rPr>
            <w:rStyle w:val="Hipercze"/>
            <w:rFonts w:ascii="Arial" w:hAnsi="Arial" w:cs="Arial"/>
          </w:rPr>
          <w:t>https://legislacja.rcl.gov.pl/projekt/12415202/k</w:t>
        </w:r>
        <w:r w:rsidRPr="00627031">
          <w:rPr>
            <w:rStyle w:val="Hipercze"/>
            <w:rFonts w:ascii="Arial" w:hAnsi="Arial" w:cs="Arial"/>
          </w:rPr>
          <w:t>a</w:t>
        </w:r>
        <w:r w:rsidRPr="00627031">
          <w:rPr>
            <w:rStyle w:val="Hipercze"/>
            <w:rFonts w:ascii="Arial" w:hAnsi="Arial" w:cs="Arial"/>
          </w:rPr>
          <w:t>talog/13229109#13229109</w:t>
        </w:r>
      </w:hyperlink>
      <w:r>
        <w:rPr>
          <w:rFonts w:ascii="Arial" w:hAnsi="Arial" w:cs="Arial"/>
        </w:rPr>
        <w:t xml:space="preserve"> </w:t>
      </w:r>
    </w:p>
    <w:p w14:paraId="6704FEFB" w14:textId="77777777" w:rsidR="0062077E" w:rsidRDefault="0062077E" w:rsidP="0062077E">
      <w:pPr>
        <w:spacing w:after="0" w:line="300" w:lineRule="auto"/>
        <w:jc w:val="both"/>
        <w:rPr>
          <w:rFonts w:ascii="Arial" w:hAnsi="Arial" w:cs="Arial"/>
        </w:rPr>
      </w:pPr>
    </w:p>
    <w:p w14:paraId="10614B21" w14:textId="72589D85" w:rsidR="0062077E" w:rsidRDefault="0062077E" w:rsidP="0062077E">
      <w:pPr>
        <w:spacing w:after="0" w:line="300" w:lineRule="auto"/>
        <w:jc w:val="both"/>
        <w:rPr>
          <w:rFonts w:ascii="Arial" w:hAnsi="Arial" w:cs="Arial"/>
        </w:rPr>
      </w:pPr>
      <w:r w:rsidRPr="0062077E">
        <w:rPr>
          <w:rFonts w:ascii="Arial" w:hAnsi="Arial" w:cs="Arial"/>
        </w:rPr>
        <w:t>Projekt jest obecnie jednocześnie na etapie uzgodnień</w:t>
      </w:r>
      <w:r>
        <w:rPr>
          <w:rFonts w:ascii="Arial" w:hAnsi="Arial" w:cs="Arial"/>
        </w:rPr>
        <w:t xml:space="preserve"> i</w:t>
      </w:r>
      <w:r w:rsidRPr="0062077E">
        <w:rPr>
          <w:rFonts w:ascii="Arial" w:hAnsi="Arial" w:cs="Arial"/>
        </w:rPr>
        <w:t xml:space="preserve"> konsultacji publicznych.</w:t>
      </w:r>
    </w:p>
    <w:p w14:paraId="3B945CEE" w14:textId="77777777" w:rsidR="0062077E" w:rsidRPr="0062077E" w:rsidRDefault="0062077E" w:rsidP="0062077E">
      <w:pPr>
        <w:spacing w:after="0" w:line="300" w:lineRule="auto"/>
        <w:jc w:val="both"/>
        <w:rPr>
          <w:rFonts w:ascii="Arial" w:hAnsi="Arial" w:cs="Arial"/>
        </w:rPr>
      </w:pPr>
    </w:p>
    <w:p w14:paraId="0AB1500B" w14:textId="1B028F6F" w:rsidR="00967802" w:rsidRPr="004134F5" w:rsidRDefault="004134F5" w:rsidP="004134F5">
      <w:pPr>
        <w:pStyle w:val="Akapitzlist"/>
        <w:numPr>
          <w:ilvl w:val="0"/>
          <w:numId w:val="4"/>
        </w:numPr>
        <w:spacing w:after="0" w:line="300" w:lineRule="auto"/>
        <w:jc w:val="both"/>
        <w:rPr>
          <w:rFonts w:ascii="Arial" w:hAnsi="Arial" w:cs="Arial"/>
          <w:b/>
          <w:bCs/>
          <w:u w:val="single"/>
        </w:rPr>
      </w:pPr>
      <w:r w:rsidRPr="004134F5">
        <w:rPr>
          <w:rFonts w:ascii="Arial" w:hAnsi="Arial" w:cs="Arial"/>
          <w:b/>
          <w:bCs/>
          <w:u w:val="single"/>
        </w:rPr>
        <w:t>P</w:t>
      </w:r>
      <w:r w:rsidRPr="004134F5">
        <w:rPr>
          <w:rFonts w:ascii="Arial" w:hAnsi="Arial" w:cs="Arial"/>
          <w:b/>
          <w:bCs/>
          <w:u w:val="single"/>
        </w:rPr>
        <w:t>rojekt rozporządzenia Ministra Energii w sprawie wartości referencyjnych dla nowych i znacznie zmodernizowanych jednostek kogeneracji w roku 2027 (37).</w:t>
      </w:r>
    </w:p>
    <w:p w14:paraId="0E5752AF" w14:textId="77777777" w:rsidR="00967802" w:rsidRPr="004134F5" w:rsidRDefault="00967802" w:rsidP="004134F5">
      <w:pPr>
        <w:spacing w:after="0" w:line="300" w:lineRule="auto"/>
        <w:jc w:val="both"/>
        <w:rPr>
          <w:rFonts w:ascii="Arial" w:hAnsi="Arial" w:cs="Arial"/>
        </w:rPr>
      </w:pPr>
    </w:p>
    <w:p w14:paraId="5C2EE349"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Projekt rozporządzenia Ministra Energii w sprawie wartości referencyjnych dla nowych i znacznie zmodernizowanych jednostek kogeneracji w roku 2027 jest realizacją upoważnienia zawartego w art. 15 ust. 7 ustawy z dnia 14 grudnia 2018 r. o promowaniu energii elektrycznej z wysokosprawnej kogeneracji (Dz. U. z 2025 r. poz. 602 oraz z 2026 r. poz. 516 i 900), zwanej </w:t>
      </w:r>
      <w:r w:rsidRPr="004134F5">
        <w:rPr>
          <w:rFonts w:ascii="Arial" w:hAnsi="Arial" w:cs="Arial"/>
        </w:rPr>
        <w:lastRenderedPageBreak/>
        <w:t xml:space="preserve">dalej „ustawą CHP”, który nakłada na ministra właściwego do spraw energii obowiązek określenia, w drodze rozporządzenia, w terminie do dnia 31 października każdego roku, wartości referencyjnych z podziałem dla nowych jednostek kogeneracji oraz znacznie zmodernizowanych jednostek kogeneracji, obowiązujących w kolejnym roku kalendarzowym, wyrażonych w złotych za 1 MWh, z dokładnością do jednego grosza, odrębnie dla jednostek kogeneracji: </w:t>
      </w:r>
    </w:p>
    <w:p w14:paraId="0DD24050" w14:textId="77777777" w:rsidR="004134F5" w:rsidRPr="004134F5" w:rsidRDefault="004134F5" w:rsidP="004134F5">
      <w:pPr>
        <w:pStyle w:val="Akapitzlist"/>
        <w:numPr>
          <w:ilvl w:val="0"/>
          <w:numId w:val="21"/>
        </w:numPr>
        <w:spacing w:after="0" w:line="300" w:lineRule="auto"/>
        <w:jc w:val="both"/>
        <w:rPr>
          <w:rFonts w:ascii="Arial" w:hAnsi="Arial" w:cs="Arial"/>
        </w:rPr>
      </w:pPr>
      <w:r w:rsidRPr="004134F5">
        <w:rPr>
          <w:rFonts w:ascii="Arial" w:hAnsi="Arial" w:cs="Arial"/>
        </w:rPr>
        <w:t xml:space="preserve">opalanych paliwami gazowymi; </w:t>
      </w:r>
    </w:p>
    <w:p w14:paraId="55F9F9E7" w14:textId="77777777" w:rsidR="004134F5" w:rsidRPr="004134F5" w:rsidRDefault="004134F5" w:rsidP="004134F5">
      <w:pPr>
        <w:pStyle w:val="Akapitzlist"/>
        <w:numPr>
          <w:ilvl w:val="0"/>
          <w:numId w:val="21"/>
        </w:numPr>
        <w:spacing w:after="0" w:line="300" w:lineRule="auto"/>
        <w:jc w:val="both"/>
        <w:rPr>
          <w:rFonts w:ascii="Arial" w:hAnsi="Arial" w:cs="Arial"/>
        </w:rPr>
      </w:pPr>
      <w:r w:rsidRPr="004134F5">
        <w:rPr>
          <w:rFonts w:ascii="Arial" w:hAnsi="Arial" w:cs="Arial"/>
        </w:rPr>
        <w:t xml:space="preserve">opalanych biomasą; </w:t>
      </w:r>
    </w:p>
    <w:p w14:paraId="71F4FFA3" w14:textId="77777777" w:rsidR="004134F5" w:rsidRPr="004134F5" w:rsidRDefault="004134F5" w:rsidP="004134F5">
      <w:pPr>
        <w:pStyle w:val="Akapitzlist"/>
        <w:numPr>
          <w:ilvl w:val="0"/>
          <w:numId w:val="21"/>
        </w:numPr>
        <w:spacing w:after="0" w:line="300" w:lineRule="auto"/>
        <w:jc w:val="both"/>
        <w:rPr>
          <w:rFonts w:ascii="Arial" w:hAnsi="Arial" w:cs="Arial"/>
        </w:rPr>
      </w:pPr>
      <w:r w:rsidRPr="004134F5">
        <w:rPr>
          <w:rFonts w:ascii="Arial" w:hAnsi="Arial" w:cs="Arial"/>
        </w:rPr>
        <w:t xml:space="preserve">innych niż wymienione w pkt 1 i 2, z wyłączeniem paliw węglowych. </w:t>
      </w:r>
    </w:p>
    <w:p w14:paraId="5EFFFF8F"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Przy ustalaniu wartości referencyjnych minister właściwy do spraw energii bierze pod uwagę: </w:t>
      </w:r>
    </w:p>
    <w:p w14:paraId="1DFBE7CB" w14:textId="77777777" w:rsidR="004134F5" w:rsidRPr="004134F5" w:rsidRDefault="004134F5" w:rsidP="004134F5">
      <w:pPr>
        <w:pStyle w:val="Akapitzlist"/>
        <w:numPr>
          <w:ilvl w:val="0"/>
          <w:numId w:val="22"/>
        </w:numPr>
        <w:spacing w:after="0" w:line="300" w:lineRule="auto"/>
        <w:jc w:val="both"/>
        <w:rPr>
          <w:rFonts w:ascii="Arial" w:hAnsi="Arial" w:cs="Arial"/>
        </w:rPr>
      </w:pPr>
      <w:r w:rsidRPr="004134F5">
        <w:rPr>
          <w:rFonts w:ascii="Arial" w:hAnsi="Arial" w:cs="Arial"/>
        </w:rPr>
        <w:t xml:space="preserve">istotne parametry techniczne i ekonomiczne funkcjonowania jednostek kogeneracji; </w:t>
      </w:r>
    </w:p>
    <w:p w14:paraId="63F81E3A" w14:textId="77777777" w:rsidR="004134F5" w:rsidRPr="004134F5" w:rsidRDefault="004134F5" w:rsidP="004134F5">
      <w:pPr>
        <w:pStyle w:val="Akapitzlist"/>
        <w:numPr>
          <w:ilvl w:val="0"/>
          <w:numId w:val="22"/>
        </w:numPr>
        <w:spacing w:after="0" w:line="300" w:lineRule="auto"/>
        <w:jc w:val="both"/>
        <w:rPr>
          <w:rFonts w:ascii="Arial" w:hAnsi="Arial" w:cs="Arial"/>
        </w:rPr>
      </w:pPr>
      <w:r w:rsidRPr="004134F5">
        <w:rPr>
          <w:rFonts w:ascii="Arial" w:hAnsi="Arial" w:cs="Arial"/>
        </w:rPr>
        <w:t xml:space="preserve">koszty operacyjne; </w:t>
      </w:r>
    </w:p>
    <w:p w14:paraId="40AC7BD9" w14:textId="77777777" w:rsidR="004134F5" w:rsidRPr="004134F5" w:rsidRDefault="004134F5" w:rsidP="004134F5">
      <w:pPr>
        <w:pStyle w:val="Akapitzlist"/>
        <w:numPr>
          <w:ilvl w:val="0"/>
          <w:numId w:val="22"/>
        </w:numPr>
        <w:spacing w:after="0" w:line="300" w:lineRule="auto"/>
        <w:jc w:val="both"/>
        <w:rPr>
          <w:rFonts w:ascii="Arial" w:hAnsi="Arial" w:cs="Arial"/>
        </w:rPr>
      </w:pPr>
      <w:r w:rsidRPr="004134F5">
        <w:rPr>
          <w:rFonts w:ascii="Arial" w:hAnsi="Arial" w:cs="Arial"/>
        </w:rPr>
        <w:t xml:space="preserve">dodatkowe koszty inwestycyjne ponoszone w okresie eksploatacji, w którym jednostka kogeneracji korzysta ze wsparcia. </w:t>
      </w:r>
    </w:p>
    <w:p w14:paraId="34181970"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Określenie wartości referencyjnych będących przedmiotem regulacji projektowanego rozporządzenia jest elementem mechanizmu aukcji na premię kogeneracyjną, o której mowa w art. 15 ust. 1 ustawy CHP. Możliwość przystąpienia do tej aukcji (ogłaszanej, organizowanej i przeprowadzanej przez Prezesa Urzędu Regulacji Energetyki nierzadziej niż raz na kwartał – art. 16 ust. 1 ustawy CHP) dotyczy wytwórcy energii elektrycznej, o którym mowa w art. 4 ust. 1 ustawy CHP, tj. wytwórcy energii elektrycznej z wysokosprawnej kogeneracji wytworzonej w nowej jednostce kogeneracji o mocy zainstalowanej elektrycznej niemniejszej niż 1 MW i mniejszej niż 50 MW lub w znacznie zmodernizowanej jednostce kogeneracji o mocy zainstalowanej elektrycznej niemniejszej niż 1 MW i mniejszej niż 50 MW. Zgodnie z art. 15 ust. 3 ustawy CHP, dla potrzeb przeprowadzenia aukcji ustala się wartości referencyjne, które odpowiadają maksymalnej wysokości premii kogeneracyjnej, w złotych za 1 MWh, która może być złożona w ofercie przez uczestnika aukcji w odniesieniu do energii elektrycznej wytworzonej w wysokosprawnej kogeneracji, wprowadzonej do sieci i sprzedanej. </w:t>
      </w:r>
    </w:p>
    <w:p w14:paraId="1B949CDB"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Ponadto, zgodnie z art. 21 ust. 3 pkt 3 ustawy CHP, oferta złożona przez wytwórcę będącego uczestnikiem aukcji zawiera m.in. ilość energii elektrycznej z wysokosprawnej kogeneracji, z podziałem na kolejno następujące po sobie lata kalendarzowe, wyrażoną w MWh, z podziałem odpowiadającym udziałowi energii chemicznej danego paliwa, o którym mowa w art. 15 ust. 7 ustawy CHP, z uwzględnieniem art. 16 ust. 4 ustawy CHP, i wysokość premii kogeneracyjnej, wyrażoną w złotych za 1 MWh, z dokładnością do jednego grosza, za jaką uczestnik aukcji zobowiązuje się wytworzyć i sprzedać tę energię. Oferta ta podlega odrzuceniu, jeżeli m.in. wysokość premii kogeneracyjnej, o której mowa w art. 21 ust. 3 pkt 3, przekracza wartość referencyjną określoną w przepisach wydanych na podstawie art. 15 ust. 7 ustawy CHP (art. 21 ust. 8 pkt 1 ustawy CHP). </w:t>
      </w:r>
    </w:p>
    <w:p w14:paraId="2F5235C2"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Mając na względzie przedstawiony stan prawny, w § 1 projektu rozporządzenia wskazano wartości referencyjne dla nowych jednostek kogeneracji, z podziałem na następujące kategorie jednostek: </w:t>
      </w:r>
    </w:p>
    <w:p w14:paraId="7FE50FCA" w14:textId="77777777" w:rsidR="004134F5" w:rsidRPr="004134F5" w:rsidRDefault="004134F5" w:rsidP="004134F5">
      <w:pPr>
        <w:pStyle w:val="Akapitzlist"/>
        <w:numPr>
          <w:ilvl w:val="0"/>
          <w:numId w:val="23"/>
        </w:numPr>
        <w:spacing w:after="0" w:line="300" w:lineRule="auto"/>
        <w:jc w:val="both"/>
        <w:rPr>
          <w:rFonts w:ascii="Arial" w:hAnsi="Arial" w:cs="Arial"/>
        </w:rPr>
      </w:pPr>
      <w:r w:rsidRPr="004134F5">
        <w:rPr>
          <w:rFonts w:ascii="Arial" w:hAnsi="Arial" w:cs="Arial"/>
        </w:rPr>
        <w:t xml:space="preserve">opalane paliwami gazowymi; </w:t>
      </w:r>
    </w:p>
    <w:p w14:paraId="119BC10E" w14:textId="77777777" w:rsidR="004134F5" w:rsidRPr="004134F5" w:rsidRDefault="004134F5" w:rsidP="004134F5">
      <w:pPr>
        <w:pStyle w:val="Akapitzlist"/>
        <w:numPr>
          <w:ilvl w:val="0"/>
          <w:numId w:val="23"/>
        </w:numPr>
        <w:spacing w:after="0" w:line="300" w:lineRule="auto"/>
        <w:jc w:val="both"/>
        <w:rPr>
          <w:rFonts w:ascii="Arial" w:hAnsi="Arial" w:cs="Arial"/>
        </w:rPr>
      </w:pPr>
      <w:r w:rsidRPr="004134F5">
        <w:rPr>
          <w:rFonts w:ascii="Arial" w:hAnsi="Arial" w:cs="Arial"/>
        </w:rPr>
        <w:t xml:space="preserve">opalane biomasą; </w:t>
      </w:r>
    </w:p>
    <w:p w14:paraId="1F49F58D" w14:textId="77777777" w:rsidR="004134F5" w:rsidRPr="004134F5" w:rsidRDefault="004134F5" w:rsidP="004134F5">
      <w:pPr>
        <w:pStyle w:val="Akapitzlist"/>
        <w:numPr>
          <w:ilvl w:val="0"/>
          <w:numId w:val="23"/>
        </w:numPr>
        <w:spacing w:after="0" w:line="300" w:lineRule="auto"/>
        <w:jc w:val="both"/>
        <w:rPr>
          <w:rFonts w:ascii="Arial" w:hAnsi="Arial" w:cs="Arial"/>
        </w:rPr>
      </w:pPr>
      <w:r w:rsidRPr="004134F5">
        <w:rPr>
          <w:rFonts w:ascii="Arial" w:hAnsi="Arial" w:cs="Arial"/>
        </w:rPr>
        <w:t xml:space="preserve">inne niż wymienione w pkt 1 i 2, z wyłączeniem paliw węglowych. </w:t>
      </w:r>
    </w:p>
    <w:p w14:paraId="735DF64A" w14:textId="77777777" w:rsidR="004134F5" w:rsidRPr="004134F5" w:rsidRDefault="004134F5" w:rsidP="004134F5">
      <w:pPr>
        <w:spacing w:after="0" w:line="300" w:lineRule="auto"/>
        <w:jc w:val="both"/>
        <w:rPr>
          <w:rFonts w:ascii="Arial" w:hAnsi="Arial" w:cs="Arial"/>
        </w:rPr>
      </w:pPr>
      <w:r w:rsidRPr="004134F5">
        <w:rPr>
          <w:rFonts w:ascii="Arial" w:hAnsi="Arial" w:cs="Arial"/>
        </w:rPr>
        <w:lastRenderedPageBreak/>
        <w:t xml:space="preserve">W § 2 projektu rozporządzenia wskazano wartości referencyjne dla znacznie zmodernizowanych jednostek kogeneracji, z podziałem na analogiczne kategorie paliwowe jak w przypadku nowych jednostek. </w:t>
      </w:r>
    </w:p>
    <w:p w14:paraId="76BE6D70"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W ocenie projektodawcy proponowane wielkości wartości referencyjnych zapewnią możliwość przeprowadzenia w 2027 r. aukcji na energię elektryczną z wysokosprawnej kogeneracji. </w:t>
      </w:r>
    </w:p>
    <w:p w14:paraId="6E3394B3" w14:textId="02796BEF" w:rsidR="004134F5" w:rsidRPr="004134F5" w:rsidRDefault="004134F5" w:rsidP="004134F5">
      <w:pPr>
        <w:spacing w:after="0" w:line="300" w:lineRule="auto"/>
        <w:jc w:val="both"/>
        <w:rPr>
          <w:rFonts w:ascii="Arial" w:hAnsi="Arial" w:cs="Arial"/>
        </w:rPr>
      </w:pPr>
      <w:r w:rsidRPr="004134F5">
        <w:rPr>
          <w:rFonts w:ascii="Arial" w:hAnsi="Arial" w:cs="Arial"/>
        </w:rPr>
        <w:t>Wartości przedstawione w projekcie rozporządzenia wynikają z założeń technicznych oraz makroekonomicznych i rynkowych przedstawionych w załącznikach do Oceny Skutków Regulacji, a także z metodologii obliczeń opisanej w pkt 2 tej Oceny.</w:t>
      </w:r>
    </w:p>
    <w:p w14:paraId="65ABA652" w14:textId="77777777" w:rsidR="004134F5" w:rsidRDefault="004134F5" w:rsidP="00967802">
      <w:pPr>
        <w:spacing w:after="0" w:line="300" w:lineRule="auto"/>
        <w:jc w:val="both"/>
        <w:rPr>
          <w:rFonts w:ascii="Arial" w:hAnsi="Arial" w:cs="Arial"/>
        </w:rPr>
      </w:pPr>
    </w:p>
    <w:p w14:paraId="0950E2FA"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Przedmiotowy projekt aktu prawnego wraz z Uzasadnieniem oraz Oceną Skutków Regulacji dostępny jest na stronach Rządowego Centrum Legislacji pod adresem: </w:t>
      </w:r>
    </w:p>
    <w:p w14:paraId="1BB3FC7F" w14:textId="7C3B2345" w:rsidR="004134F5" w:rsidRDefault="004134F5" w:rsidP="004134F5">
      <w:pPr>
        <w:spacing w:after="0" w:line="300" w:lineRule="auto"/>
        <w:jc w:val="both"/>
        <w:rPr>
          <w:rFonts w:ascii="Arial" w:hAnsi="Arial" w:cs="Arial"/>
        </w:rPr>
      </w:pPr>
      <w:hyperlink r:id="rId11" w:history="1">
        <w:r w:rsidRPr="00627031">
          <w:rPr>
            <w:rStyle w:val="Hipercze"/>
            <w:rFonts w:ascii="Arial" w:hAnsi="Arial" w:cs="Arial"/>
          </w:rPr>
          <w:t>https://legislacja.rcl.gov.pl/projekt/12415301/kat</w:t>
        </w:r>
        <w:r w:rsidRPr="00627031">
          <w:rPr>
            <w:rStyle w:val="Hipercze"/>
            <w:rFonts w:ascii="Arial" w:hAnsi="Arial" w:cs="Arial"/>
          </w:rPr>
          <w:t>a</w:t>
        </w:r>
        <w:r w:rsidRPr="00627031">
          <w:rPr>
            <w:rStyle w:val="Hipercze"/>
            <w:rFonts w:ascii="Arial" w:hAnsi="Arial" w:cs="Arial"/>
          </w:rPr>
          <w:t>log/13229451#13229451</w:t>
        </w:r>
      </w:hyperlink>
      <w:r>
        <w:rPr>
          <w:rFonts w:ascii="Arial" w:hAnsi="Arial" w:cs="Arial"/>
        </w:rPr>
        <w:t xml:space="preserve"> </w:t>
      </w:r>
    </w:p>
    <w:p w14:paraId="559E2C19" w14:textId="77777777" w:rsidR="004134F5" w:rsidRDefault="004134F5" w:rsidP="00967802">
      <w:pPr>
        <w:spacing w:after="0" w:line="300" w:lineRule="auto"/>
        <w:jc w:val="both"/>
        <w:rPr>
          <w:rFonts w:ascii="Arial" w:hAnsi="Arial" w:cs="Arial"/>
        </w:rPr>
      </w:pPr>
    </w:p>
    <w:p w14:paraId="6AD8A375" w14:textId="09947B71" w:rsidR="004134F5" w:rsidRDefault="004134F5" w:rsidP="00967802">
      <w:pPr>
        <w:spacing w:after="0" w:line="300" w:lineRule="auto"/>
        <w:jc w:val="both"/>
        <w:rPr>
          <w:rFonts w:ascii="Arial" w:hAnsi="Arial" w:cs="Arial"/>
        </w:rPr>
      </w:pPr>
      <w:r w:rsidRPr="004134F5">
        <w:rPr>
          <w:rFonts w:ascii="Arial" w:hAnsi="Arial" w:cs="Arial"/>
        </w:rPr>
        <w:t>Projekt jest obecnie jednocześnie na etapie uzgodnień, konsultacji publicznych i opiniowania.</w:t>
      </w:r>
    </w:p>
    <w:p w14:paraId="6B8B7AC7" w14:textId="77777777" w:rsidR="004134F5" w:rsidRPr="00967802" w:rsidRDefault="004134F5" w:rsidP="00967802">
      <w:pPr>
        <w:spacing w:after="0" w:line="300" w:lineRule="auto"/>
        <w:jc w:val="both"/>
        <w:rPr>
          <w:rFonts w:ascii="Arial" w:hAnsi="Arial" w:cs="Arial"/>
        </w:rPr>
      </w:pPr>
    </w:p>
    <w:p w14:paraId="02C2FEA7" w14:textId="2FF02B08" w:rsidR="000077C7" w:rsidRPr="004134F5" w:rsidRDefault="004134F5" w:rsidP="004134F5">
      <w:pPr>
        <w:pStyle w:val="Akapitzlist"/>
        <w:numPr>
          <w:ilvl w:val="0"/>
          <w:numId w:val="4"/>
        </w:numPr>
        <w:spacing w:after="0" w:line="300" w:lineRule="auto"/>
        <w:jc w:val="both"/>
        <w:rPr>
          <w:rFonts w:ascii="Arial" w:hAnsi="Arial" w:cs="Arial"/>
          <w:b/>
          <w:bCs/>
          <w:u w:val="single"/>
        </w:rPr>
      </w:pPr>
      <w:r w:rsidRPr="004134F5">
        <w:rPr>
          <w:rFonts w:ascii="Arial" w:hAnsi="Arial" w:cs="Arial"/>
          <w:b/>
          <w:bCs/>
          <w:u w:val="single"/>
        </w:rPr>
        <w:t>P</w:t>
      </w:r>
      <w:r w:rsidRPr="004134F5">
        <w:rPr>
          <w:rFonts w:ascii="Arial" w:hAnsi="Arial" w:cs="Arial"/>
          <w:b/>
          <w:bCs/>
          <w:u w:val="single"/>
        </w:rPr>
        <w:t>rojekt rozporządzenia Ministra Energii w sprawie maksymalnej ilości i wartości energii elektrycznej z wysokosprawnej kogeneracji objętej wsparciem oraz jednostkowych wysokości premii gwarantowanej w roku 2027 (38).</w:t>
      </w:r>
    </w:p>
    <w:p w14:paraId="0DAFF68E" w14:textId="77777777" w:rsidR="000077C7" w:rsidRPr="004134F5" w:rsidRDefault="000077C7" w:rsidP="004134F5">
      <w:pPr>
        <w:spacing w:after="0" w:line="300" w:lineRule="auto"/>
        <w:jc w:val="both"/>
        <w:rPr>
          <w:rFonts w:ascii="Arial" w:hAnsi="Arial" w:cs="Arial"/>
        </w:rPr>
      </w:pPr>
    </w:p>
    <w:p w14:paraId="4716359B"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Projekt rozporządzenia Ministra Energii w sprawie maksymalnej ilości i wartości energii elektrycznej z wysokosprawnej kogeneracji objętej wsparciem oraz jednostkowych wysokości premii gwarantowanej w roku 2027 jest realizacją upoważnienia zawartego w art. 56 ust. 1 ustawy z dnia 14 grudnia 2018 r. o promowaniu energii elektrycznej z wysokosprawnej kogeneracji (Dz. U. z 2025 r. poz. 602 oraz z 2026 r. poz. 516 i 900), zwanej dalej „ustawą CHP”, który nakłada na ministra właściwego do spraw energii obowiązek określenia, w drodze rozporządzenia, w terminie do dnia 31 października każdego roku: </w:t>
      </w:r>
    </w:p>
    <w:p w14:paraId="3A136808" w14:textId="77777777" w:rsidR="004134F5" w:rsidRPr="004134F5" w:rsidRDefault="004134F5" w:rsidP="004134F5">
      <w:pPr>
        <w:pStyle w:val="Akapitzlist"/>
        <w:numPr>
          <w:ilvl w:val="0"/>
          <w:numId w:val="24"/>
        </w:numPr>
        <w:spacing w:after="0" w:line="300" w:lineRule="auto"/>
        <w:jc w:val="both"/>
        <w:rPr>
          <w:rFonts w:ascii="Arial" w:hAnsi="Arial" w:cs="Arial"/>
        </w:rPr>
      </w:pPr>
      <w:r w:rsidRPr="004134F5">
        <w:rPr>
          <w:rFonts w:ascii="Arial" w:hAnsi="Arial" w:cs="Arial"/>
        </w:rPr>
        <w:t xml:space="preserve">maksymalnej ilości energii elektrycznej z wysokosprawnej kogeneracji, której sprzedaż może zostać objęta premią kogeneracyjną w kolejnym roku kalendarzowym; </w:t>
      </w:r>
    </w:p>
    <w:p w14:paraId="158ADAE4" w14:textId="77777777" w:rsidR="004134F5" w:rsidRPr="004134F5" w:rsidRDefault="004134F5" w:rsidP="004134F5">
      <w:pPr>
        <w:pStyle w:val="Akapitzlist"/>
        <w:numPr>
          <w:ilvl w:val="0"/>
          <w:numId w:val="24"/>
        </w:numPr>
        <w:spacing w:after="0" w:line="300" w:lineRule="auto"/>
        <w:jc w:val="both"/>
        <w:rPr>
          <w:rFonts w:ascii="Arial" w:hAnsi="Arial" w:cs="Arial"/>
        </w:rPr>
      </w:pPr>
      <w:r w:rsidRPr="004134F5">
        <w:rPr>
          <w:rFonts w:ascii="Arial" w:hAnsi="Arial" w:cs="Arial"/>
        </w:rPr>
        <w:t xml:space="preserve">maksymalnej wartości premii kogeneracyjnej wynikającej z ilości energii, o której mowa w pkt 1, w kolejnym roku kalendarzowym, w tym w odniesieniu do wytwórców energii elektrycznej z wysokosprawnej kogeneracji w jednostkach kogeneracji zlokalizowanych poza terytorium Rzeczypospolitej Polskiej; </w:t>
      </w:r>
    </w:p>
    <w:p w14:paraId="0AFC2A75" w14:textId="77777777" w:rsidR="004134F5" w:rsidRPr="004134F5" w:rsidRDefault="004134F5" w:rsidP="004134F5">
      <w:pPr>
        <w:pStyle w:val="Akapitzlist"/>
        <w:numPr>
          <w:ilvl w:val="0"/>
          <w:numId w:val="24"/>
        </w:numPr>
        <w:spacing w:after="0" w:line="300" w:lineRule="auto"/>
        <w:jc w:val="both"/>
        <w:rPr>
          <w:rFonts w:ascii="Arial" w:hAnsi="Arial" w:cs="Arial"/>
        </w:rPr>
      </w:pPr>
      <w:r w:rsidRPr="004134F5">
        <w:rPr>
          <w:rFonts w:ascii="Arial" w:hAnsi="Arial" w:cs="Arial"/>
        </w:rPr>
        <w:t xml:space="preserve">maksymalnej mocy zainstalowanej elektrycznej nowych małych jednostek kogeneracji lub znacznie zmodernizowanych małych jednostek kogeneracji, dla których wytwórca, o którym mowa w art. 5 ust. 1 pkt 3 ustawy CHP (tj. wytwórca energii elektrycznej z wysokosprawnej kogeneracji wytworzonej w nowej małej jednostce kogeneracji, znacznie zmodernizowanej małej jednostce kogeneracji, istniejącej małej jednostce kogeneracji lub zmodernizowanej małej jednostce kogeneracji, wchodzącej w skład źródła o łącznej mocy zainstalowanej elektrycznej mniejszej niż 1 MW), może uzyskać premię gwarantowaną w danym roku kalendarzowym; </w:t>
      </w:r>
    </w:p>
    <w:p w14:paraId="06F584E0" w14:textId="77777777" w:rsidR="004134F5" w:rsidRPr="004134F5" w:rsidRDefault="004134F5" w:rsidP="004134F5">
      <w:pPr>
        <w:pStyle w:val="Akapitzlist"/>
        <w:numPr>
          <w:ilvl w:val="0"/>
          <w:numId w:val="24"/>
        </w:numPr>
        <w:spacing w:after="0" w:line="300" w:lineRule="auto"/>
        <w:jc w:val="both"/>
        <w:rPr>
          <w:rFonts w:ascii="Arial" w:hAnsi="Arial" w:cs="Arial"/>
        </w:rPr>
      </w:pPr>
      <w:r w:rsidRPr="004134F5">
        <w:rPr>
          <w:rFonts w:ascii="Arial" w:hAnsi="Arial" w:cs="Arial"/>
        </w:rPr>
        <w:t xml:space="preserve">jednostkowej wysokości premii gwarantowanej, w złotych za 1 MWh, dla nowej małej jednostki kogeneracji, zmodernizowanej małej jednostki kogeneracji oraz znacznie zmodernizowanej małej jednostki kogeneracji, odrębnie dla jednostek kogeneracji opalanych paliwem, o którym mowa w art. 15 ust. 7 ustawy CHP (tj. paliwami </w:t>
      </w:r>
      <w:r w:rsidRPr="004134F5">
        <w:rPr>
          <w:rFonts w:ascii="Arial" w:hAnsi="Arial" w:cs="Arial"/>
        </w:rPr>
        <w:lastRenderedPageBreak/>
        <w:t>gazowymi, biomasą albo innym paliwem, z wyłączeniem paliw węglowych), w kolejnym roku kalendarzowym;</w:t>
      </w:r>
    </w:p>
    <w:p w14:paraId="13F74BF6" w14:textId="77777777" w:rsidR="004134F5" w:rsidRPr="004134F5" w:rsidRDefault="004134F5" w:rsidP="004134F5">
      <w:pPr>
        <w:pStyle w:val="Akapitzlist"/>
        <w:numPr>
          <w:ilvl w:val="0"/>
          <w:numId w:val="24"/>
        </w:numPr>
        <w:spacing w:after="0" w:line="300" w:lineRule="auto"/>
        <w:jc w:val="both"/>
        <w:rPr>
          <w:rFonts w:ascii="Arial" w:hAnsi="Arial" w:cs="Arial"/>
        </w:rPr>
      </w:pPr>
      <w:r w:rsidRPr="004134F5">
        <w:rPr>
          <w:rFonts w:ascii="Arial" w:hAnsi="Arial" w:cs="Arial"/>
        </w:rPr>
        <w:t xml:space="preserve">maksymalnej ilości energii elektrycznej z wysokosprawnej kogeneracji, której sprzedaż może zostać objęta premią kogeneracyjną indywidualną w kolejnym roku kalendarzowym; </w:t>
      </w:r>
    </w:p>
    <w:p w14:paraId="1129D3E4" w14:textId="77777777" w:rsidR="004134F5" w:rsidRPr="004134F5" w:rsidRDefault="004134F5" w:rsidP="004134F5">
      <w:pPr>
        <w:pStyle w:val="Akapitzlist"/>
        <w:numPr>
          <w:ilvl w:val="0"/>
          <w:numId w:val="24"/>
        </w:numPr>
        <w:spacing w:after="0" w:line="300" w:lineRule="auto"/>
        <w:jc w:val="both"/>
        <w:rPr>
          <w:rFonts w:ascii="Arial" w:hAnsi="Arial" w:cs="Arial"/>
        </w:rPr>
      </w:pPr>
      <w:r w:rsidRPr="004134F5">
        <w:rPr>
          <w:rFonts w:ascii="Arial" w:hAnsi="Arial" w:cs="Arial"/>
        </w:rPr>
        <w:t xml:space="preserve">maksymalnej wartości premii kogeneracyjnej indywidualnej wynikającej z ilości energii, o której mowa w pkt 5, w kolejnym roku kalendarzowym; </w:t>
      </w:r>
    </w:p>
    <w:p w14:paraId="0CB29C29" w14:textId="77777777" w:rsidR="004134F5" w:rsidRPr="004134F5" w:rsidRDefault="004134F5" w:rsidP="004134F5">
      <w:pPr>
        <w:pStyle w:val="Akapitzlist"/>
        <w:numPr>
          <w:ilvl w:val="0"/>
          <w:numId w:val="24"/>
        </w:numPr>
        <w:spacing w:after="0" w:line="300" w:lineRule="auto"/>
        <w:jc w:val="both"/>
        <w:rPr>
          <w:rFonts w:ascii="Arial" w:hAnsi="Arial" w:cs="Arial"/>
        </w:rPr>
      </w:pPr>
      <w:r w:rsidRPr="004134F5">
        <w:rPr>
          <w:rFonts w:ascii="Arial" w:hAnsi="Arial" w:cs="Arial"/>
        </w:rPr>
        <w:t xml:space="preserve">maksymalnej wysokości premii kogeneracyjnej indywidualnej, w złotych za 1 MWh, w kolejnym roku kalendarzowym, odrębnie dla jednostek kogeneracji opalanych paliwem, o którym mowa w art. 15 ust. 7 ustawy CHP (tj. paliwami gazowymi, biomasą albo innym paliwem, z wyłączeniem paliw węglowych), w tym w odniesieniu do wytwórców energii elektrycznej z wysokosprawnej kogeneracji w jednostkach kogeneracji zlokalizowanych poza terytorium Rzeczypospolitej Polskiej; </w:t>
      </w:r>
    </w:p>
    <w:p w14:paraId="3B1D8B90" w14:textId="77777777" w:rsidR="004134F5" w:rsidRPr="004134F5" w:rsidRDefault="004134F5" w:rsidP="004134F5">
      <w:pPr>
        <w:pStyle w:val="Akapitzlist"/>
        <w:numPr>
          <w:ilvl w:val="0"/>
          <w:numId w:val="24"/>
        </w:numPr>
        <w:spacing w:after="0" w:line="300" w:lineRule="auto"/>
        <w:jc w:val="both"/>
        <w:rPr>
          <w:rFonts w:ascii="Arial" w:hAnsi="Arial" w:cs="Arial"/>
        </w:rPr>
      </w:pPr>
      <w:r w:rsidRPr="004134F5">
        <w:rPr>
          <w:rFonts w:ascii="Arial" w:hAnsi="Arial" w:cs="Arial"/>
        </w:rPr>
        <w:t xml:space="preserve">jednostkowej wysokości premii gwarantowanej, w złotych za 1 MWh, w kolejnym roku kalendarzowym, dla jednostek kogeneracji, o których mowa w art. 5 ust. 1 pkt 1 ustawy CHP (tj. zmodernizowanych jednostek kogeneracji o mocy zainstalowanej elektrycznej niemniejszej niż 1 MW i mniejszej niż 50 MW), odrębnie dla jednostek kogeneracji opalanych paliwem, o którym mowa w art. 15 ust. 7 ustawy CHP (tj. paliwami gazowymi, biomasą albo innym paliwem, z wyłączeniem paliw węglowych); </w:t>
      </w:r>
    </w:p>
    <w:p w14:paraId="777FF5C4" w14:textId="77777777" w:rsidR="004134F5" w:rsidRPr="004134F5" w:rsidRDefault="004134F5" w:rsidP="004134F5">
      <w:pPr>
        <w:pStyle w:val="Akapitzlist"/>
        <w:numPr>
          <w:ilvl w:val="0"/>
          <w:numId w:val="24"/>
        </w:numPr>
        <w:spacing w:after="0" w:line="300" w:lineRule="auto"/>
        <w:jc w:val="both"/>
        <w:rPr>
          <w:rFonts w:ascii="Arial" w:hAnsi="Arial" w:cs="Arial"/>
        </w:rPr>
      </w:pPr>
      <w:r w:rsidRPr="004134F5">
        <w:rPr>
          <w:rFonts w:ascii="Arial" w:hAnsi="Arial" w:cs="Arial"/>
        </w:rPr>
        <w:t xml:space="preserve">jednostkowej wysokości premii gwarantowanej, w złotych za 1 MWh, w kolejnym roku kalendarzowym, dla jednostek kogeneracji, o których mowa w art. 5 ust. 1 pkt 2 ustawy CHP (tj. istniejących jednostek kogeneracji o mocy zainstalowanej elektrycznej niemniejszej niż 1 MW i mniejszej niż 50 MW), odrębnie dla jednostek kogeneracji opalanych paliwem, o którym mowa w art. 15 ust. 7 ustawy CHP (tj. paliwami gazowymi, biomasą albo innym paliwem, z wyłączeniem paliw węglowych); </w:t>
      </w:r>
    </w:p>
    <w:p w14:paraId="030453F9" w14:textId="77777777" w:rsidR="004134F5" w:rsidRPr="004134F5" w:rsidRDefault="004134F5" w:rsidP="004134F5">
      <w:pPr>
        <w:pStyle w:val="Akapitzlist"/>
        <w:numPr>
          <w:ilvl w:val="0"/>
          <w:numId w:val="24"/>
        </w:numPr>
        <w:spacing w:after="0" w:line="300" w:lineRule="auto"/>
        <w:jc w:val="both"/>
        <w:rPr>
          <w:rFonts w:ascii="Arial" w:hAnsi="Arial" w:cs="Arial"/>
        </w:rPr>
      </w:pPr>
      <w:r w:rsidRPr="004134F5">
        <w:rPr>
          <w:rFonts w:ascii="Arial" w:hAnsi="Arial" w:cs="Arial"/>
        </w:rPr>
        <w:t xml:space="preserve">jednostkowej wysokości premii gwarantowanej, w złotych za 1 MWh, w kolejnym roku kalendarzowym, dla istniejącej małej jednostki kogeneracji, odrębnie dla jednostek kogeneracji opalanych paliwem, o którym mowa w art. 15 ust. 7 ustawy CHP (tj. paliwami gazowymi, biomasą albo innym paliwem, z wyłączeniem paliw węglowych). </w:t>
      </w:r>
    </w:p>
    <w:p w14:paraId="58161CFF"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Wytyczne dotyczące treści projektowanego aktu składają się z dwóch bloków. </w:t>
      </w:r>
    </w:p>
    <w:p w14:paraId="63633C8D"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Zgodnie z art. 56 ust. 2 ustawy CHP, przy określaniu maksymalnej ilości energii elektrycznej z wysokosprawnej kogeneracji oraz maksymalnej wartości premii kogeneracyjnej oraz premii kogeneracyjnej indywidualnej, a także maksymalnej mocy zainstalowanej elektrycznej, o których mowa w art. 56 ust. 1 ustawy CHP, minister właściwy do spraw energii bierze pod uwagę: </w:t>
      </w:r>
    </w:p>
    <w:p w14:paraId="7116DCDD" w14:textId="77777777" w:rsidR="004134F5" w:rsidRPr="004134F5" w:rsidRDefault="004134F5" w:rsidP="004134F5">
      <w:pPr>
        <w:pStyle w:val="Akapitzlist"/>
        <w:numPr>
          <w:ilvl w:val="0"/>
          <w:numId w:val="25"/>
        </w:numPr>
        <w:spacing w:after="0" w:line="300" w:lineRule="auto"/>
        <w:jc w:val="both"/>
        <w:rPr>
          <w:rFonts w:ascii="Arial" w:hAnsi="Arial" w:cs="Arial"/>
        </w:rPr>
      </w:pPr>
      <w:r w:rsidRPr="004134F5">
        <w:rPr>
          <w:rFonts w:ascii="Arial" w:hAnsi="Arial" w:cs="Arial"/>
        </w:rPr>
        <w:t xml:space="preserve">politykę energetyczną państwa; </w:t>
      </w:r>
    </w:p>
    <w:p w14:paraId="1523FCDA" w14:textId="77777777" w:rsidR="004134F5" w:rsidRPr="004134F5" w:rsidRDefault="004134F5" w:rsidP="004134F5">
      <w:pPr>
        <w:pStyle w:val="Akapitzlist"/>
        <w:numPr>
          <w:ilvl w:val="0"/>
          <w:numId w:val="25"/>
        </w:numPr>
        <w:spacing w:after="0" w:line="300" w:lineRule="auto"/>
        <w:jc w:val="both"/>
        <w:rPr>
          <w:rFonts w:ascii="Arial" w:hAnsi="Arial" w:cs="Arial"/>
        </w:rPr>
      </w:pPr>
      <w:r w:rsidRPr="004134F5">
        <w:rPr>
          <w:rFonts w:ascii="Arial" w:hAnsi="Arial" w:cs="Arial"/>
        </w:rPr>
        <w:t xml:space="preserve">potrzebę ochrony środowiska, w tym przeciwdziałanie zanieczyszczeniu powietrza; </w:t>
      </w:r>
    </w:p>
    <w:p w14:paraId="20A806B2" w14:textId="77777777" w:rsidR="004134F5" w:rsidRPr="004134F5" w:rsidRDefault="004134F5" w:rsidP="004134F5">
      <w:pPr>
        <w:pStyle w:val="Akapitzlist"/>
        <w:numPr>
          <w:ilvl w:val="0"/>
          <w:numId w:val="25"/>
        </w:numPr>
        <w:spacing w:after="0" w:line="300" w:lineRule="auto"/>
        <w:jc w:val="both"/>
        <w:rPr>
          <w:rFonts w:ascii="Arial" w:hAnsi="Arial" w:cs="Arial"/>
        </w:rPr>
      </w:pPr>
      <w:r w:rsidRPr="004134F5">
        <w:rPr>
          <w:rFonts w:ascii="Arial" w:hAnsi="Arial" w:cs="Arial"/>
        </w:rPr>
        <w:t xml:space="preserve">potrzebę efektywnego wykorzystania energii pierwotnej podczas jednoczesnego wytwarzania energii elektrycznej i ciepła użytkowego w jednostkach kogeneracji; </w:t>
      </w:r>
    </w:p>
    <w:p w14:paraId="6915A9C9" w14:textId="77777777" w:rsidR="004134F5" w:rsidRPr="004134F5" w:rsidRDefault="004134F5" w:rsidP="004134F5">
      <w:pPr>
        <w:pStyle w:val="Akapitzlist"/>
        <w:numPr>
          <w:ilvl w:val="0"/>
          <w:numId w:val="25"/>
        </w:numPr>
        <w:spacing w:after="0" w:line="300" w:lineRule="auto"/>
        <w:jc w:val="both"/>
        <w:rPr>
          <w:rFonts w:ascii="Arial" w:hAnsi="Arial" w:cs="Arial"/>
        </w:rPr>
      </w:pPr>
      <w:r w:rsidRPr="004134F5">
        <w:rPr>
          <w:rFonts w:ascii="Arial" w:hAnsi="Arial" w:cs="Arial"/>
        </w:rPr>
        <w:t xml:space="preserve">istotne parametry techniczne i ekonomiczne funkcjonowania jednostek kogeneracji; </w:t>
      </w:r>
    </w:p>
    <w:p w14:paraId="7F1F7D06" w14:textId="77777777" w:rsidR="004134F5" w:rsidRPr="004134F5" w:rsidRDefault="004134F5" w:rsidP="004134F5">
      <w:pPr>
        <w:pStyle w:val="Akapitzlist"/>
        <w:numPr>
          <w:ilvl w:val="0"/>
          <w:numId w:val="25"/>
        </w:numPr>
        <w:spacing w:after="0" w:line="300" w:lineRule="auto"/>
        <w:jc w:val="both"/>
        <w:rPr>
          <w:rFonts w:ascii="Arial" w:hAnsi="Arial" w:cs="Arial"/>
        </w:rPr>
      </w:pPr>
      <w:r w:rsidRPr="004134F5">
        <w:rPr>
          <w:rFonts w:ascii="Arial" w:hAnsi="Arial" w:cs="Arial"/>
        </w:rPr>
        <w:t xml:space="preserve">koszty operacyjne oraz dodatkowe koszty inwestycyjne ponoszone w okresie eksploatacji, w którym jednostka kogeneracji korzysta z systemu wsparcia; </w:t>
      </w:r>
    </w:p>
    <w:p w14:paraId="760C5CCB" w14:textId="77777777" w:rsidR="004134F5" w:rsidRPr="004134F5" w:rsidRDefault="004134F5" w:rsidP="004134F5">
      <w:pPr>
        <w:pStyle w:val="Akapitzlist"/>
        <w:numPr>
          <w:ilvl w:val="0"/>
          <w:numId w:val="25"/>
        </w:numPr>
        <w:spacing w:after="0" w:line="300" w:lineRule="auto"/>
        <w:jc w:val="both"/>
        <w:rPr>
          <w:rFonts w:ascii="Arial" w:hAnsi="Arial" w:cs="Arial"/>
        </w:rPr>
      </w:pPr>
      <w:r w:rsidRPr="004134F5">
        <w:rPr>
          <w:rFonts w:ascii="Arial" w:hAnsi="Arial" w:cs="Arial"/>
        </w:rPr>
        <w:t xml:space="preserve">koszty inwestycyjne ponoszone w okresie przygotowania projektu i budowy jednostki kogeneracji wraz z niezbędną infrastrukturą techniczną; </w:t>
      </w:r>
    </w:p>
    <w:p w14:paraId="5350BD46" w14:textId="77777777" w:rsidR="004134F5" w:rsidRPr="004134F5" w:rsidRDefault="004134F5" w:rsidP="004134F5">
      <w:pPr>
        <w:pStyle w:val="Akapitzlist"/>
        <w:numPr>
          <w:ilvl w:val="0"/>
          <w:numId w:val="25"/>
        </w:numPr>
        <w:spacing w:after="0" w:line="300" w:lineRule="auto"/>
        <w:jc w:val="both"/>
        <w:rPr>
          <w:rFonts w:ascii="Arial" w:hAnsi="Arial" w:cs="Arial"/>
        </w:rPr>
      </w:pPr>
      <w:r w:rsidRPr="004134F5">
        <w:rPr>
          <w:rFonts w:ascii="Arial" w:hAnsi="Arial" w:cs="Arial"/>
        </w:rPr>
        <w:lastRenderedPageBreak/>
        <w:t xml:space="preserve">założenia dotyczące technicznych warunków pracy jednostki kogeneracji, w tym sprawności wytwarzania energii elektrycznej, współczynniki wykorzystania dostępnej mocy elektrycznej, współczynniki zużycia wytworzonej energii elektrycznej na pokrycie potrzeb własnych oraz na pokrycie strat powstających przed wprowadzeniem energii elektrycznej do sieci; </w:t>
      </w:r>
    </w:p>
    <w:p w14:paraId="5B7A0510" w14:textId="77777777" w:rsidR="004134F5" w:rsidRPr="004134F5" w:rsidRDefault="004134F5" w:rsidP="004134F5">
      <w:pPr>
        <w:pStyle w:val="Akapitzlist"/>
        <w:numPr>
          <w:ilvl w:val="0"/>
          <w:numId w:val="25"/>
        </w:numPr>
        <w:spacing w:after="0" w:line="300" w:lineRule="auto"/>
        <w:jc w:val="both"/>
        <w:rPr>
          <w:rFonts w:ascii="Arial" w:hAnsi="Arial" w:cs="Arial"/>
        </w:rPr>
      </w:pPr>
      <w:r w:rsidRPr="004134F5">
        <w:rPr>
          <w:rFonts w:ascii="Arial" w:hAnsi="Arial" w:cs="Arial"/>
        </w:rPr>
        <w:t xml:space="preserve">koszty kapitału własnego wytwórcy energii elektrycznej z wysokosprawnej kogeneracji. </w:t>
      </w:r>
    </w:p>
    <w:p w14:paraId="73212075"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Z kolei, zgodnie z art. 56 ust. 3 ustawy CHP, przy określaniu jednostkowej wysokości premii gwarantowanej oraz maksymalnej wysokości premii kogeneracyjnej indywidualnej, minister właściwy do spraw energii bierze pod uwagę: </w:t>
      </w:r>
    </w:p>
    <w:p w14:paraId="58E72D0D" w14:textId="77777777" w:rsidR="004134F5" w:rsidRPr="004134F5" w:rsidRDefault="004134F5" w:rsidP="004134F5">
      <w:pPr>
        <w:pStyle w:val="Akapitzlist"/>
        <w:numPr>
          <w:ilvl w:val="0"/>
          <w:numId w:val="26"/>
        </w:numPr>
        <w:spacing w:after="0" w:line="300" w:lineRule="auto"/>
        <w:jc w:val="both"/>
        <w:rPr>
          <w:rFonts w:ascii="Arial" w:hAnsi="Arial" w:cs="Arial"/>
        </w:rPr>
      </w:pPr>
      <w:r w:rsidRPr="004134F5">
        <w:rPr>
          <w:rFonts w:ascii="Arial" w:hAnsi="Arial" w:cs="Arial"/>
        </w:rPr>
        <w:t xml:space="preserve">istotne parametry techniczne i ekonomiczne funkcjonowania jednostek kogeneracji; </w:t>
      </w:r>
    </w:p>
    <w:p w14:paraId="37B83200" w14:textId="77777777" w:rsidR="004134F5" w:rsidRPr="004134F5" w:rsidRDefault="004134F5" w:rsidP="004134F5">
      <w:pPr>
        <w:pStyle w:val="Akapitzlist"/>
        <w:numPr>
          <w:ilvl w:val="0"/>
          <w:numId w:val="26"/>
        </w:numPr>
        <w:spacing w:after="0" w:line="300" w:lineRule="auto"/>
        <w:jc w:val="both"/>
        <w:rPr>
          <w:rFonts w:ascii="Arial" w:hAnsi="Arial" w:cs="Arial"/>
        </w:rPr>
      </w:pPr>
      <w:r w:rsidRPr="004134F5">
        <w:rPr>
          <w:rFonts w:ascii="Arial" w:hAnsi="Arial" w:cs="Arial"/>
        </w:rPr>
        <w:t xml:space="preserve">koszty operacyjne oraz dodatkowe koszty inwestycyjne ponoszone w okresie eksploatacji, w którym jednostka kogeneracji korzysta z systemu wsparcia; </w:t>
      </w:r>
    </w:p>
    <w:p w14:paraId="30630184" w14:textId="77777777" w:rsidR="004134F5" w:rsidRPr="004134F5" w:rsidRDefault="004134F5" w:rsidP="004134F5">
      <w:pPr>
        <w:pStyle w:val="Akapitzlist"/>
        <w:numPr>
          <w:ilvl w:val="0"/>
          <w:numId w:val="26"/>
        </w:numPr>
        <w:spacing w:after="0" w:line="300" w:lineRule="auto"/>
        <w:jc w:val="both"/>
        <w:rPr>
          <w:rFonts w:ascii="Arial" w:hAnsi="Arial" w:cs="Arial"/>
        </w:rPr>
      </w:pPr>
      <w:r w:rsidRPr="004134F5">
        <w:rPr>
          <w:rFonts w:ascii="Arial" w:hAnsi="Arial" w:cs="Arial"/>
        </w:rPr>
        <w:t xml:space="preserve">koszty inwestycyjne ponoszone w okresie przygotowania projektu i budowy jednostki kogeneracji wraz z niezbędną infrastrukturą techniczną; </w:t>
      </w:r>
    </w:p>
    <w:p w14:paraId="613E04C9" w14:textId="77777777" w:rsidR="004134F5" w:rsidRPr="004134F5" w:rsidRDefault="004134F5" w:rsidP="004134F5">
      <w:pPr>
        <w:pStyle w:val="Akapitzlist"/>
        <w:numPr>
          <w:ilvl w:val="0"/>
          <w:numId w:val="26"/>
        </w:numPr>
        <w:spacing w:after="0" w:line="300" w:lineRule="auto"/>
        <w:jc w:val="both"/>
        <w:rPr>
          <w:rFonts w:ascii="Arial" w:hAnsi="Arial" w:cs="Arial"/>
        </w:rPr>
      </w:pPr>
      <w:r w:rsidRPr="004134F5">
        <w:rPr>
          <w:rFonts w:ascii="Arial" w:hAnsi="Arial" w:cs="Arial"/>
        </w:rPr>
        <w:t xml:space="preserve">założenia dotyczące technicznych warunków pracy jednostki kogeneracji, w tym sprawności wytwarzania energii elektrycznej, współczynniki wykorzystania dostępnej mocy elektrycznej, współczynniki zużycia wytworzonej energii elektrycznej na pokrycie potrzeb własnych oraz na pokrycie strat powstających przed wprowadzeniem energii elektrycznej do sieci; </w:t>
      </w:r>
    </w:p>
    <w:p w14:paraId="234A7913" w14:textId="77777777" w:rsidR="004134F5" w:rsidRPr="004134F5" w:rsidRDefault="004134F5" w:rsidP="004134F5">
      <w:pPr>
        <w:pStyle w:val="Akapitzlist"/>
        <w:numPr>
          <w:ilvl w:val="0"/>
          <w:numId w:val="26"/>
        </w:numPr>
        <w:spacing w:after="0" w:line="300" w:lineRule="auto"/>
        <w:jc w:val="both"/>
        <w:rPr>
          <w:rFonts w:ascii="Arial" w:hAnsi="Arial" w:cs="Arial"/>
        </w:rPr>
      </w:pPr>
      <w:r w:rsidRPr="004134F5">
        <w:rPr>
          <w:rFonts w:ascii="Arial" w:hAnsi="Arial" w:cs="Arial"/>
        </w:rPr>
        <w:t xml:space="preserve">przewidywane kształtowanie się cen paliw oraz jednostkowe ceny uprawnień do emisji dwutlenku węgla; </w:t>
      </w:r>
    </w:p>
    <w:p w14:paraId="7B139083" w14:textId="77777777" w:rsidR="004134F5" w:rsidRPr="004134F5" w:rsidRDefault="004134F5" w:rsidP="004134F5">
      <w:pPr>
        <w:pStyle w:val="Akapitzlist"/>
        <w:numPr>
          <w:ilvl w:val="0"/>
          <w:numId w:val="26"/>
        </w:numPr>
        <w:spacing w:after="0" w:line="300" w:lineRule="auto"/>
        <w:jc w:val="both"/>
        <w:rPr>
          <w:rFonts w:ascii="Arial" w:hAnsi="Arial" w:cs="Arial"/>
        </w:rPr>
      </w:pPr>
      <w:r w:rsidRPr="004134F5">
        <w:rPr>
          <w:rFonts w:ascii="Arial" w:hAnsi="Arial" w:cs="Arial"/>
        </w:rPr>
        <w:t xml:space="preserve">koszty kapitału własnego wytwórcy energii elektrycznej z wysokosprawnej kogeneracji. </w:t>
      </w:r>
    </w:p>
    <w:p w14:paraId="389BDDC9"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Wartości przedstawione w projekcie wynikają z założeń techniczno-ekonomicznych oraz makroekonomicznych i rynkowych przedstawionych w załącznikach do Oceny Skutków Regulacji, a także z metodologii obliczeń opisanej w pkt 2 tej Oceny. </w:t>
      </w:r>
    </w:p>
    <w:p w14:paraId="32926DAC" w14:textId="4E984CF3" w:rsidR="000077C7" w:rsidRPr="004134F5" w:rsidRDefault="004134F5" w:rsidP="004134F5">
      <w:pPr>
        <w:spacing w:after="0" w:line="300" w:lineRule="auto"/>
        <w:jc w:val="both"/>
        <w:rPr>
          <w:rFonts w:ascii="Arial" w:hAnsi="Arial" w:cs="Arial"/>
        </w:rPr>
      </w:pPr>
      <w:r w:rsidRPr="004134F5">
        <w:rPr>
          <w:rFonts w:ascii="Arial" w:hAnsi="Arial" w:cs="Arial"/>
        </w:rPr>
        <w:t>Określenie w drodze rozporządzenia, w terminie do dnia 31 października każdego roku, maksymalnej ilości energii elektrycznej z wysokosprawnej kogeneracji, maksymalnej wartości premii kogeneracyjnej oraz maksymalnej wartości premii kogeneracyjnej indywidualnej, a także maksymalnej mocy zainstalowanej elektrycznej, jednostkowej wysokości premii gwarantowanej oraz maksymalnej wysokości premii kogeneracyjnej indywidualnej, jest istotnym sygnałem dla inwestorów pozwalającym na określenie, czy dany projekt inwestycyjny uzyska wsparcie w ramach wsparcia energii elektrycznej z wysokosprawnej kogeneracji.</w:t>
      </w:r>
    </w:p>
    <w:p w14:paraId="74653390" w14:textId="77777777" w:rsidR="004134F5" w:rsidRDefault="004134F5" w:rsidP="000077C7">
      <w:pPr>
        <w:spacing w:after="0" w:line="300" w:lineRule="auto"/>
        <w:jc w:val="both"/>
        <w:rPr>
          <w:rFonts w:ascii="Arial" w:hAnsi="Arial" w:cs="Arial"/>
        </w:rPr>
      </w:pPr>
    </w:p>
    <w:p w14:paraId="20D4152B" w14:textId="77777777" w:rsidR="004134F5" w:rsidRPr="004134F5" w:rsidRDefault="004134F5" w:rsidP="004134F5">
      <w:pPr>
        <w:spacing w:after="0" w:line="300" w:lineRule="auto"/>
        <w:jc w:val="both"/>
        <w:rPr>
          <w:rFonts w:ascii="Arial" w:hAnsi="Arial" w:cs="Arial"/>
        </w:rPr>
      </w:pPr>
      <w:r w:rsidRPr="004134F5">
        <w:rPr>
          <w:rFonts w:ascii="Arial" w:hAnsi="Arial" w:cs="Arial"/>
        </w:rPr>
        <w:t xml:space="preserve">Przedmiotowy projekt aktu prawnego wraz z Uzasadnieniem oraz Oceną Skutków Regulacji dostępny jest na stronach Rządowego Centrum Legislacji pod adresem: </w:t>
      </w:r>
    </w:p>
    <w:p w14:paraId="3EDB9340" w14:textId="074BEFB1" w:rsidR="004134F5" w:rsidRDefault="004134F5" w:rsidP="004134F5">
      <w:pPr>
        <w:spacing w:after="0" w:line="300" w:lineRule="auto"/>
        <w:jc w:val="both"/>
        <w:rPr>
          <w:rFonts w:ascii="Arial" w:hAnsi="Arial" w:cs="Arial"/>
        </w:rPr>
      </w:pPr>
      <w:hyperlink r:id="rId12" w:history="1">
        <w:r w:rsidRPr="00627031">
          <w:rPr>
            <w:rStyle w:val="Hipercze"/>
            <w:rFonts w:ascii="Arial" w:hAnsi="Arial" w:cs="Arial"/>
          </w:rPr>
          <w:t>https://legislacja.rcl.gov.pl/projekt/12</w:t>
        </w:r>
        <w:r w:rsidRPr="00627031">
          <w:rPr>
            <w:rStyle w:val="Hipercze"/>
            <w:rFonts w:ascii="Arial" w:hAnsi="Arial" w:cs="Arial"/>
          </w:rPr>
          <w:t>4</w:t>
        </w:r>
        <w:r w:rsidRPr="00627031">
          <w:rPr>
            <w:rStyle w:val="Hipercze"/>
            <w:rFonts w:ascii="Arial" w:hAnsi="Arial" w:cs="Arial"/>
          </w:rPr>
          <w:t>15302/katalog/13229494#13229494</w:t>
        </w:r>
      </w:hyperlink>
      <w:r>
        <w:rPr>
          <w:rFonts w:ascii="Arial" w:hAnsi="Arial" w:cs="Arial"/>
        </w:rPr>
        <w:t xml:space="preserve"> </w:t>
      </w:r>
    </w:p>
    <w:p w14:paraId="4A51A426" w14:textId="77777777" w:rsidR="004134F5" w:rsidRDefault="004134F5" w:rsidP="000077C7">
      <w:pPr>
        <w:spacing w:after="0" w:line="300" w:lineRule="auto"/>
        <w:jc w:val="both"/>
        <w:rPr>
          <w:rFonts w:ascii="Arial" w:hAnsi="Arial" w:cs="Arial"/>
        </w:rPr>
      </w:pPr>
    </w:p>
    <w:p w14:paraId="6044EA43" w14:textId="5C8B0C0C" w:rsidR="004134F5" w:rsidRDefault="00C60FC1" w:rsidP="000077C7">
      <w:pPr>
        <w:spacing w:after="0" w:line="300" w:lineRule="auto"/>
        <w:jc w:val="both"/>
        <w:rPr>
          <w:rFonts w:ascii="Arial" w:hAnsi="Arial" w:cs="Arial"/>
        </w:rPr>
      </w:pPr>
      <w:r w:rsidRPr="00C60FC1">
        <w:rPr>
          <w:rFonts w:ascii="Arial" w:hAnsi="Arial" w:cs="Arial"/>
        </w:rPr>
        <w:t>Projekt jest obecnie jednocześnie na etapie uzgodnień, konsultacji publicznych i opiniowania.</w:t>
      </w:r>
    </w:p>
    <w:p w14:paraId="65435FF5" w14:textId="77777777" w:rsidR="00C60FC1" w:rsidRDefault="00C60FC1" w:rsidP="000077C7">
      <w:pPr>
        <w:spacing w:after="0" w:line="300" w:lineRule="auto"/>
        <w:jc w:val="both"/>
        <w:rPr>
          <w:rFonts w:ascii="Arial" w:hAnsi="Arial" w:cs="Arial"/>
        </w:rPr>
      </w:pPr>
    </w:p>
    <w:p w14:paraId="56223915" w14:textId="77777777" w:rsidR="00761D04" w:rsidRPr="00761D04" w:rsidRDefault="00761D04" w:rsidP="00761D04">
      <w:pPr>
        <w:spacing w:after="0" w:line="300" w:lineRule="auto"/>
        <w:jc w:val="both"/>
        <w:rPr>
          <w:rFonts w:ascii="Arial" w:hAnsi="Arial" w:cs="Arial"/>
          <w:b/>
          <w:bCs/>
        </w:rPr>
      </w:pPr>
      <w:r w:rsidRPr="00761D04">
        <w:rPr>
          <w:rFonts w:ascii="Arial" w:hAnsi="Arial" w:cs="Arial"/>
          <w:b/>
          <w:bCs/>
        </w:rPr>
        <w:t>II. Stanowiska Związku Pracodawców Polska Miedź</w:t>
      </w:r>
    </w:p>
    <w:p w14:paraId="79F4BAE9" w14:textId="77777777" w:rsidR="00761D04" w:rsidRPr="00761D04" w:rsidRDefault="00761D04" w:rsidP="00761D04">
      <w:pPr>
        <w:spacing w:after="0" w:line="300" w:lineRule="auto"/>
        <w:jc w:val="both"/>
        <w:rPr>
          <w:rFonts w:ascii="Arial" w:hAnsi="Arial" w:cs="Arial"/>
        </w:rPr>
      </w:pPr>
    </w:p>
    <w:p w14:paraId="3CB36625" w14:textId="24EF4B1B" w:rsidR="00761D04" w:rsidRPr="00761D04" w:rsidRDefault="00761D04" w:rsidP="00761D04">
      <w:pPr>
        <w:spacing w:after="0" w:line="300" w:lineRule="auto"/>
        <w:jc w:val="both"/>
        <w:rPr>
          <w:rFonts w:ascii="Arial" w:hAnsi="Arial" w:cs="Arial"/>
        </w:rPr>
      </w:pPr>
      <w:r w:rsidRPr="00761D04">
        <w:rPr>
          <w:rFonts w:ascii="Arial" w:hAnsi="Arial" w:cs="Arial"/>
        </w:rPr>
        <w:t xml:space="preserve">Na podstawie opinii i ekspertyz podmiotów członkowskich Związku Pracodawców Polska Miedź przygotowano </w:t>
      </w:r>
      <w:r>
        <w:rPr>
          <w:rFonts w:ascii="Arial" w:hAnsi="Arial" w:cs="Arial"/>
        </w:rPr>
        <w:t>dwa</w:t>
      </w:r>
      <w:r w:rsidRPr="00761D04">
        <w:rPr>
          <w:rFonts w:ascii="Arial" w:hAnsi="Arial" w:cs="Arial"/>
        </w:rPr>
        <w:t xml:space="preserve"> stanowisk</w:t>
      </w:r>
      <w:r>
        <w:rPr>
          <w:rFonts w:ascii="Arial" w:hAnsi="Arial" w:cs="Arial"/>
        </w:rPr>
        <w:t>a</w:t>
      </w:r>
      <w:r w:rsidRPr="00761D04">
        <w:rPr>
          <w:rFonts w:ascii="Arial" w:hAnsi="Arial" w:cs="Arial"/>
        </w:rPr>
        <w:t xml:space="preserve"> do opublikowanych projektów aktów prawnych oraz dokumentów strategicznych.</w:t>
      </w:r>
    </w:p>
    <w:p w14:paraId="496269B0" w14:textId="77777777" w:rsidR="00761D04" w:rsidRPr="00761D04" w:rsidRDefault="00761D04" w:rsidP="00761D04">
      <w:pPr>
        <w:spacing w:after="0" w:line="300" w:lineRule="auto"/>
        <w:jc w:val="both"/>
        <w:rPr>
          <w:rFonts w:ascii="Arial" w:hAnsi="Arial" w:cs="Arial"/>
        </w:rPr>
      </w:pPr>
    </w:p>
    <w:p w14:paraId="5F7D7361" w14:textId="52F21B4C" w:rsidR="00761D04" w:rsidRPr="00761D04" w:rsidRDefault="00761D04" w:rsidP="00761D04">
      <w:pPr>
        <w:spacing w:after="0" w:line="300" w:lineRule="auto"/>
        <w:ind w:left="708"/>
        <w:jc w:val="both"/>
        <w:rPr>
          <w:rFonts w:ascii="Arial" w:hAnsi="Arial" w:cs="Arial"/>
          <w:b/>
          <w:bCs/>
          <w:u w:val="single"/>
        </w:rPr>
      </w:pPr>
      <w:r w:rsidRPr="00761D04">
        <w:rPr>
          <w:rFonts w:ascii="Arial" w:hAnsi="Arial" w:cs="Arial"/>
          <w:b/>
          <w:bCs/>
          <w:u w:val="single"/>
        </w:rPr>
        <w:t>Stanowisko Związku Pracodawców Polska Miedź (uwagi Związku Pracodawców Polska Miedź) do projektu rozporządzenia Rady Ministrów w sprawie progów uznania incydentu za poważny.</w:t>
      </w:r>
    </w:p>
    <w:p w14:paraId="6AC04666" w14:textId="77777777" w:rsidR="00761D04" w:rsidRPr="00761D04" w:rsidRDefault="00761D04" w:rsidP="00761D04">
      <w:pPr>
        <w:spacing w:after="0" w:line="300" w:lineRule="auto"/>
        <w:jc w:val="both"/>
        <w:rPr>
          <w:rFonts w:ascii="Arial" w:hAnsi="Arial" w:cs="Arial"/>
        </w:rPr>
      </w:pPr>
    </w:p>
    <w:p w14:paraId="6D59A20D" w14:textId="3A97F83C" w:rsidR="00761D04" w:rsidRPr="00761D04" w:rsidRDefault="00761D04" w:rsidP="00761D04">
      <w:pPr>
        <w:spacing w:after="0" w:line="300" w:lineRule="auto"/>
        <w:jc w:val="both"/>
        <w:rPr>
          <w:rFonts w:ascii="Arial" w:hAnsi="Arial" w:cs="Arial"/>
        </w:rPr>
      </w:pPr>
      <w:r w:rsidRPr="00761D04">
        <w:rPr>
          <w:rFonts w:ascii="Arial" w:hAnsi="Arial" w:cs="Arial"/>
        </w:rPr>
        <w:t xml:space="preserve">Projekt z dnia </w:t>
      </w:r>
      <w:r>
        <w:rPr>
          <w:rFonts w:ascii="Arial" w:hAnsi="Arial" w:cs="Arial"/>
        </w:rPr>
        <w:t>2</w:t>
      </w:r>
      <w:r w:rsidRPr="00761D04">
        <w:rPr>
          <w:rFonts w:ascii="Arial" w:hAnsi="Arial" w:cs="Arial"/>
        </w:rPr>
        <w:t xml:space="preserve"> września 2026 roku, opublikowany na stronie BIP Rządowego Centrum Legislacji w dniu </w:t>
      </w:r>
      <w:r>
        <w:rPr>
          <w:rFonts w:ascii="Arial" w:hAnsi="Arial" w:cs="Arial"/>
        </w:rPr>
        <w:t>9</w:t>
      </w:r>
      <w:r w:rsidRPr="00761D04">
        <w:rPr>
          <w:rFonts w:ascii="Arial" w:hAnsi="Arial" w:cs="Arial"/>
        </w:rPr>
        <w:t xml:space="preserve"> września 2026 roku (nr </w:t>
      </w:r>
      <w:r>
        <w:rPr>
          <w:rFonts w:ascii="Arial" w:hAnsi="Arial" w:cs="Arial"/>
        </w:rPr>
        <w:t>RD236</w:t>
      </w:r>
      <w:r w:rsidRPr="00761D04">
        <w:rPr>
          <w:rFonts w:ascii="Arial" w:hAnsi="Arial" w:cs="Arial"/>
        </w:rPr>
        <w:t xml:space="preserve"> w Wykazie prac legislacyjnych i programowych Rady Ministrów).</w:t>
      </w:r>
    </w:p>
    <w:p w14:paraId="7CE0FA3A" w14:textId="42FB5168" w:rsidR="00C60FC1" w:rsidRDefault="00761D04" w:rsidP="00761D04">
      <w:pPr>
        <w:spacing w:after="0" w:line="300" w:lineRule="auto"/>
        <w:jc w:val="both"/>
        <w:rPr>
          <w:rFonts w:ascii="Arial" w:hAnsi="Arial" w:cs="Arial"/>
        </w:rPr>
      </w:pPr>
      <w:r w:rsidRPr="00761D04">
        <w:rPr>
          <w:rFonts w:ascii="Arial" w:hAnsi="Arial" w:cs="Arial"/>
        </w:rPr>
        <w:t xml:space="preserve">Przedmiotowe stanowisko zostało przesłane do Ministerstwa </w:t>
      </w:r>
      <w:r>
        <w:rPr>
          <w:rFonts w:ascii="Arial" w:hAnsi="Arial" w:cs="Arial"/>
        </w:rPr>
        <w:t>Cyfryzacji</w:t>
      </w:r>
      <w:r w:rsidRPr="00761D04">
        <w:rPr>
          <w:rFonts w:ascii="Arial" w:hAnsi="Arial" w:cs="Arial"/>
        </w:rPr>
        <w:t xml:space="preserve"> oraz reprezentatywnych organizacji pracodawców, z którymi Związek Pracodawców Polska Miedź współpracuje.</w:t>
      </w:r>
    </w:p>
    <w:p w14:paraId="3C88C327" w14:textId="77777777" w:rsidR="00761D04" w:rsidRDefault="00761D04" w:rsidP="00761D04">
      <w:pPr>
        <w:spacing w:after="0" w:line="300" w:lineRule="auto"/>
        <w:jc w:val="both"/>
        <w:rPr>
          <w:rFonts w:ascii="Arial" w:hAnsi="Arial" w:cs="Arial"/>
        </w:rPr>
      </w:pPr>
    </w:p>
    <w:p w14:paraId="5D10AA5E" w14:textId="53C4155F" w:rsidR="00761D04" w:rsidRPr="00761D04" w:rsidRDefault="00761D04" w:rsidP="00761D04">
      <w:pPr>
        <w:spacing w:after="0" w:line="300" w:lineRule="auto"/>
        <w:ind w:left="708"/>
        <w:jc w:val="both"/>
        <w:rPr>
          <w:rFonts w:ascii="Arial" w:hAnsi="Arial" w:cs="Arial"/>
          <w:b/>
          <w:bCs/>
          <w:u w:val="single"/>
        </w:rPr>
      </w:pPr>
      <w:r w:rsidRPr="00761D04">
        <w:rPr>
          <w:rFonts w:ascii="Arial" w:hAnsi="Arial" w:cs="Arial"/>
          <w:b/>
          <w:bCs/>
          <w:u w:val="single"/>
        </w:rPr>
        <w:t>Stanowisko Związku Pracodawców Polska Miedź (uwagi Związku Pracodawców Polska Miedź) do projektu ustawy o zmianie ustawy – Prawo energetyczne.</w:t>
      </w:r>
    </w:p>
    <w:p w14:paraId="6364C9BD" w14:textId="77777777" w:rsidR="00761D04" w:rsidRPr="00761D04" w:rsidRDefault="00761D04" w:rsidP="00761D04">
      <w:pPr>
        <w:spacing w:after="0" w:line="300" w:lineRule="auto"/>
        <w:jc w:val="both"/>
        <w:rPr>
          <w:rFonts w:ascii="Arial" w:hAnsi="Arial" w:cs="Arial"/>
        </w:rPr>
      </w:pPr>
    </w:p>
    <w:p w14:paraId="2C9C3F96" w14:textId="674B488A" w:rsidR="00761D04" w:rsidRPr="00761D04" w:rsidRDefault="00761D04" w:rsidP="00761D04">
      <w:pPr>
        <w:spacing w:after="0" w:line="300" w:lineRule="auto"/>
        <w:jc w:val="both"/>
        <w:rPr>
          <w:rFonts w:ascii="Arial" w:hAnsi="Arial" w:cs="Arial"/>
        </w:rPr>
      </w:pPr>
      <w:r w:rsidRPr="00761D04">
        <w:rPr>
          <w:rFonts w:ascii="Arial" w:hAnsi="Arial" w:cs="Arial"/>
        </w:rPr>
        <w:t xml:space="preserve">Projekt z dnia </w:t>
      </w:r>
      <w:r>
        <w:rPr>
          <w:rFonts w:ascii="Arial" w:hAnsi="Arial" w:cs="Arial"/>
        </w:rPr>
        <w:t>9</w:t>
      </w:r>
      <w:r w:rsidRPr="00761D04">
        <w:rPr>
          <w:rFonts w:ascii="Arial" w:hAnsi="Arial" w:cs="Arial"/>
        </w:rPr>
        <w:t xml:space="preserve"> września 2026 roku, opublikowany na stronie BIP Rządowego Centrum Legislacji w dniu </w:t>
      </w:r>
      <w:r>
        <w:rPr>
          <w:rFonts w:ascii="Arial" w:hAnsi="Arial" w:cs="Arial"/>
        </w:rPr>
        <w:t>15</w:t>
      </w:r>
      <w:r w:rsidRPr="00761D04">
        <w:rPr>
          <w:rFonts w:ascii="Arial" w:hAnsi="Arial" w:cs="Arial"/>
        </w:rPr>
        <w:t xml:space="preserve"> września 2026 roku (nr UD457 w Wykazie prac legislacyjnych i programowych Rady Ministrów).</w:t>
      </w:r>
    </w:p>
    <w:p w14:paraId="31E9D6EE" w14:textId="50C8AD0A" w:rsidR="00761D04" w:rsidRDefault="00761D04" w:rsidP="00761D04">
      <w:pPr>
        <w:spacing w:after="0" w:line="300" w:lineRule="auto"/>
        <w:jc w:val="both"/>
        <w:rPr>
          <w:rFonts w:ascii="Arial" w:hAnsi="Arial" w:cs="Arial"/>
        </w:rPr>
      </w:pPr>
      <w:r w:rsidRPr="00761D04">
        <w:rPr>
          <w:rFonts w:ascii="Arial" w:hAnsi="Arial" w:cs="Arial"/>
        </w:rPr>
        <w:t xml:space="preserve">Przedmiotowe stanowisko zostało przesłane do Ministerstwa </w:t>
      </w:r>
      <w:r>
        <w:rPr>
          <w:rFonts w:ascii="Arial" w:hAnsi="Arial" w:cs="Arial"/>
        </w:rPr>
        <w:t>Energii</w:t>
      </w:r>
      <w:r w:rsidRPr="00761D04">
        <w:rPr>
          <w:rFonts w:ascii="Arial" w:hAnsi="Arial" w:cs="Arial"/>
        </w:rPr>
        <w:t xml:space="preserve"> oraz reprezentatywnych organizacji pracodawców, z którymi Związek Pracodawców Polska Miedź współpracuje.</w:t>
      </w:r>
    </w:p>
    <w:p w14:paraId="7A9164F2" w14:textId="77777777" w:rsidR="000077C7" w:rsidRPr="00CB4A6E" w:rsidRDefault="000077C7" w:rsidP="000077C7">
      <w:pPr>
        <w:spacing w:after="0" w:line="300" w:lineRule="auto"/>
        <w:rPr>
          <w:rFonts w:ascii="Arial" w:hAnsi="Arial" w:cs="Arial"/>
        </w:rPr>
      </w:pPr>
    </w:p>
    <w:p w14:paraId="36DA8A2E" w14:textId="199159E3" w:rsidR="000077C7" w:rsidRDefault="000077C7" w:rsidP="000077C7">
      <w:pPr>
        <w:spacing w:after="0" w:line="300" w:lineRule="auto"/>
        <w:jc w:val="both"/>
        <w:rPr>
          <w:rFonts w:ascii="Arial" w:hAnsi="Arial" w:cs="Arial"/>
          <w:b/>
        </w:rPr>
      </w:pPr>
      <w:r>
        <w:rPr>
          <w:rFonts w:ascii="Arial" w:hAnsi="Arial" w:cs="Arial"/>
          <w:b/>
        </w:rPr>
        <w:t>I</w:t>
      </w:r>
      <w:r w:rsidR="00761D04">
        <w:rPr>
          <w:rFonts w:ascii="Arial" w:hAnsi="Arial" w:cs="Arial"/>
          <w:b/>
        </w:rPr>
        <w:t>I</w:t>
      </w:r>
      <w:r>
        <w:rPr>
          <w:rFonts w:ascii="Arial" w:hAnsi="Arial" w:cs="Arial"/>
          <w:b/>
        </w:rPr>
        <w:t>I. Ogłoszone akty prawne (Dziennik Ustaw RP)</w:t>
      </w:r>
    </w:p>
    <w:p w14:paraId="78F3E0B2" w14:textId="77777777" w:rsidR="000077C7" w:rsidRDefault="000077C7" w:rsidP="000077C7">
      <w:pPr>
        <w:spacing w:after="0" w:line="300" w:lineRule="auto"/>
        <w:jc w:val="both"/>
        <w:rPr>
          <w:rFonts w:ascii="Arial" w:hAnsi="Arial" w:cs="Arial"/>
        </w:rPr>
      </w:pPr>
    </w:p>
    <w:p w14:paraId="3F0012A3" w14:textId="11B33162" w:rsidR="000077C7" w:rsidRDefault="000077C7" w:rsidP="000077C7">
      <w:pPr>
        <w:spacing w:after="0" w:line="300" w:lineRule="auto"/>
        <w:jc w:val="both"/>
        <w:rPr>
          <w:rFonts w:ascii="Arial" w:hAnsi="Arial" w:cs="Arial"/>
        </w:rPr>
      </w:pPr>
      <w:r>
        <w:rPr>
          <w:rFonts w:ascii="Arial" w:hAnsi="Arial" w:cs="Arial"/>
        </w:rPr>
        <w:t xml:space="preserve">W analizowanym okresie ogłoszono </w:t>
      </w:r>
      <w:r w:rsidR="007E5A71">
        <w:rPr>
          <w:rFonts w:ascii="Arial" w:hAnsi="Arial" w:cs="Arial"/>
        </w:rPr>
        <w:t>36</w:t>
      </w:r>
      <w:r>
        <w:rPr>
          <w:rFonts w:ascii="Arial" w:hAnsi="Arial" w:cs="Arial"/>
        </w:rPr>
        <w:t xml:space="preserve"> akt</w:t>
      </w:r>
      <w:r w:rsidR="007E5A71">
        <w:rPr>
          <w:rFonts w:ascii="Arial" w:hAnsi="Arial" w:cs="Arial"/>
        </w:rPr>
        <w:t>ów</w:t>
      </w:r>
      <w:r>
        <w:rPr>
          <w:rFonts w:ascii="Arial" w:hAnsi="Arial" w:cs="Arial"/>
        </w:rPr>
        <w:t xml:space="preserve"> prawn</w:t>
      </w:r>
      <w:r w:rsidR="007E5A71">
        <w:rPr>
          <w:rFonts w:ascii="Arial" w:hAnsi="Arial" w:cs="Arial"/>
        </w:rPr>
        <w:t>ych</w:t>
      </w:r>
      <w:r>
        <w:rPr>
          <w:rFonts w:ascii="Arial" w:hAnsi="Arial" w:cs="Arial"/>
        </w:rPr>
        <w:t xml:space="preserve"> tzn. ustaw, rozporządz</w:t>
      </w:r>
      <w:r w:rsidR="007E5A71">
        <w:rPr>
          <w:rFonts w:ascii="Arial" w:hAnsi="Arial" w:cs="Arial"/>
        </w:rPr>
        <w:t>eń</w:t>
      </w:r>
      <w:r>
        <w:rPr>
          <w:rFonts w:ascii="Arial" w:hAnsi="Arial" w:cs="Arial"/>
        </w:rPr>
        <w:t xml:space="preserve"> Rady Ministrów, Prezesa Rady Ministrów i poszczególnych ministrów, obwieszcze</w:t>
      </w:r>
      <w:r w:rsidR="007E5A71">
        <w:rPr>
          <w:rFonts w:ascii="Arial" w:hAnsi="Arial" w:cs="Arial"/>
        </w:rPr>
        <w:t>ń</w:t>
      </w:r>
      <w:r>
        <w:rPr>
          <w:rFonts w:ascii="Arial" w:hAnsi="Arial" w:cs="Arial"/>
        </w:rPr>
        <w:t xml:space="preserve"> w sprawie ogłoszenia tekstu jednolitego. Z powyższych publikacji w zainteresowaniu pracodawców i przedsiębiorców znaleźć się mogą następujące akty prawne:</w:t>
      </w:r>
    </w:p>
    <w:p w14:paraId="00D7C85E" w14:textId="77777777" w:rsidR="000077C7" w:rsidRDefault="000077C7" w:rsidP="000077C7">
      <w:pPr>
        <w:spacing w:after="0" w:line="300" w:lineRule="auto"/>
        <w:jc w:val="both"/>
        <w:rPr>
          <w:rFonts w:ascii="Arial" w:hAnsi="Arial" w:cs="Arial"/>
        </w:rPr>
      </w:pPr>
    </w:p>
    <w:p w14:paraId="712E66C2" w14:textId="3856F087" w:rsidR="000077C7" w:rsidRPr="00516F56" w:rsidRDefault="00516F56" w:rsidP="000077C7">
      <w:pPr>
        <w:pStyle w:val="Akapitzlist"/>
        <w:numPr>
          <w:ilvl w:val="0"/>
          <w:numId w:val="2"/>
        </w:numPr>
        <w:spacing w:after="0" w:line="300" w:lineRule="auto"/>
        <w:ind w:left="426" w:hanging="426"/>
        <w:jc w:val="both"/>
        <w:rPr>
          <w:rFonts w:ascii="Arial" w:hAnsi="Arial" w:cs="Arial"/>
          <w:b/>
          <w:bCs/>
          <w:u w:val="single"/>
        </w:rPr>
      </w:pPr>
      <w:r w:rsidRPr="00516F56">
        <w:rPr>
          <w:rFonts w:ascii="Arial" w:hAnsi="Arial" w:cs="Arial"/>
          <w:b/>
          <w:bCs/>
          <w:u w:val="single"/>
        </w:rPr>
        <w:t>Ustawa z dnia 4 września 2026 r. o zmianie ustawy o podatku od towarów i usług oraz ustawy o zasadach ewidencji i identyfikacji podatników i płatników</w:t>
      </w:r>
      <w:r w:rsidR="000077C7" w:rsidRPr="00516F56">
        <w:rPr>
          <w:rFonts w:ascii="Arial" w:hAnsi="Arial" w:cs="Arial"/>
          <w:b/>
          <w:bCs/>
          <w:u w:val="single"/>
        </w:rPr>
        <w:t>.</w:t>
      </w:r>
    </w:p>
    <w:p w14:paraId="6126C119" w14:textId="77777777" w:rsidR="00516F56" w:rsidRDefault="00516F56" w:rsidP="00516F56">
      <w:pPr>
        <w:spacing w:after="0" w:line="300" w:lineRule="auto"/>
        <w:jc w:val="both"/>
        <w:rPr>
          <w:rFonts w:ascii="Arial" w:eastAsia="Times New Roman" w:hAnsi="Arial" w:cs="Arial"/>
          <w:lang w:eastAsia="pl-PL"/>
        </w:rPr>
      </w:pPr>
    </w:p>
    <w:p w14:paraId="1C290B8E" w14:textId="088F4537" w:rsidR="000077C7" w:rsidRPr="00516F56" w:rsidRDefault="000077C7" w:rsidP="00516F56">
      <w:pPr>
        <w:spacing w:after="0" w:line="300" w:lineRule="auto"/>
        <w:jc w:val="both"/>
        <w:rPr>
          <w:rFonts w:ascii="Arial" w:eastAsia="Times New Roman" w:hAnsi="Arial" w:cs="Arial"/>
          <w:lang w:eastAsia="pl-PL"/>
        </w:rPr>
      </w:pPr>
      <w:r w:rsidRPr="00516F56">
        <w:rPr>
          <w:rFonts w:ascii="Arial" w:eastAsia="Times New Roman" w:hAnsi="Arial" w:cs="Arial"/>
          <w:lang w:eastAsia="pl-PL"/>
        </w:rPr>
        <w:t xml:space="preserve">Powyższy akt prawny ogłoszony został </w:t>
      </w:r>
      <w:r w:rsidR="00516F56">
        <w:rPr>
          <w:rFonts w:ascii="Arial" w:eastAsia="Times New Roman" w:hAnsi="Arial" w:cs="Arial"/>
          <w:lang w:eastAsia="pl-PL"/>
        </w:rPr>
        <w:t>29 września</w:t>
      </w:r>
      <w:r w:rsidRPr="00516F56">
        <w:rPr>
          <w:rFonts w:ascii="Arial" w:eastAsia="Times New Roman" w:hAnsi="Arial" w:cs="Arial"/>
          <w:lang w:eastAsia="pl-PL"/>
        </w:rPr>
        <w:t xml:space="preserve"> 202</w:t>
      </w:r>
      <w:r w:rsidR="00516F56">
        <w:rPr>
          <w:rFonts w:ascii="Arial" w:eastAsia="Times New Roman" w:hAnsi="Arial" w:cs="Arial"/>
          <w:lang w:eastAsia="pl-PL"/>
        </w:rPr>
        <w:t>6</w:t>
      </w:r>
      <w:r w:rsidRPr="00516F56">
        <w:rPr>
          <w:rFonts w:ascii="Arial" w:eastAsia="Times New Roman" w:hAnsi="Arial" w:cs="Arial"/>
          <w:lang w:eastAsia="pl-PL"/>
        </w:rPr>
        <w:t xml:space="preserve"> roku w Dzienniku Ustaw (Dz.U. z 202</w:t>
      </w:r>
      <w:r w:rsidR="00516F56">
        <w:rPr>
          <w:rFonts w:ascii="Arial" w:eastAsia="Times New Roman" w:hAnsi="Arial" w:cs="Arial"/>
          <w:lang w:eastAsia="pl-PL"/>
        </w:rPr>
        <w:t>6</w:t>
      </w:r>
      <w:r w:rsidRPr="00516F56">
        <w:rPr>
          <w:rFonts w:ascii="Arial" w:eastAsia="Times New Roman" w:hAnsi="Arial" w:cs="Arial"/>
          <w:lang w:eastAsia="pl-PL"/>
        </w:rPr>
        <w:t xml:space="preserve">, poz. </w:t>
      </w:r>
      <w:r w:rsidR="00516F56">
        <w:rPr>
          <w:rFonts w:ascii="Arial" w:eastAsia="Times New Roman" w:hAnsi="Arial" w:cs="Arial"/>
          <w:lang w:eastAsia="pl-PL"/>
        </w:rPr>
        <w:t>1270</w:t>
      </w:r>
      <w:r w:rsidRPr="00516F56">
        <w:rPr>
          <w:rFonts w:ascii="Arial" w:eastAsia="Times New Roman" w:hAnsi="Arial" w:cs="Arial"/>
          <w:lang w:eastAsia="pl-PL"/>
        </w:rPr>
        <w:t>).</w:t>
      </w:r>
    </w:p>
    <w:p w14:paraId="6735BCFA" w14:textId="77777777" w:rsidR="00516F56" w:rsidRDefault="00516F56" w:rsidP="00516F56">
      <w:pPr>
        <w:spacing w:after="0" w:line="300" w:lineRule="auto"/>
        <w:jc w:val="both"/>
        <w:rPr>
          <w:rFonts w:ascii="Arial" w:eastAsia="Times New Roman" w:hAnsi="Arial" w:cs="Arial"/>
          <w:lang w:eastAsia="pl-PL"/>
        </w:rPr>
      </w:pPr>
    </w:p>
    <w:p w14:paraId="2B82D2BC" w14:textId="77777777" w:rsidR="00F23856" w:rsidRDefault="00516F56" w:rsidP="00516F56">
      <w:pPr>
        <w:spacing w:after="0" w:line="300" w:lineRule="auto"/>
        <w:jc w:val="both"/>
        <w:rPr>
          <w:rFonts w:ascii="Arial" w:eastAsia="Times New Roman" w:hAnsi="Arial" w:cs="Arial"/>
          <w:lang w:eastAsia="pl-PL"/>
        </w:rPr>
      </w:pPr>
      <w:r w:rsidRPr="00516F56">
        <w:rPr>
          <w:rFonts w:ascii="Arial" w:eastAsia="Times New Roman" w:hAnsi="Arial" w:cs="Arial"/>
          <w:lang w:eastAsia="pl-PL"/>
        </w:rPr>
        <w:t xml:space="preserve">Ustawa wprowadza liczne zmiany w ustawie z dnia 11 marca 2004 r. o podatku od towarów i usług (Dz. U. z 2025 r. poz. 775, 894, 896, 1203, 1541 i 1811 oraz z 2026 r. poz. 507) oraz w ustawie z dnia 13 października 1995 r. o zasadach ewidencji i identyfikacji podatników i płatników (Dz. U. z 2026 r. poz. 151 i 507) o różnym charakterze. Uchwalone zmiany z jednej strony mają charakter deregulacyjny (likwidują niektóre obowiązki sprawozdawcze, wprowadzają rozwiązania upraszczające oraz doprecyzowujące, które ułatwią prowadzenie działalności gospodarczej), z drugiej – charakter uszczelniający system podatkowy (np. rozszerzenie obowiązku stosowania mechanizmu podzielonej płatności podatku VAT), mają bowiem za zadanie ochronę interesów państwa przed unikaniem opodatkowania i nieprawidłowościami w rozliczeniach podatku VAT. </w:t>
      </w:r>
    </w:p>
    <w:p w14:paraId="7B78ED93" w14:textId="77777777" w:rsidR="00F23856" w:rsidRDefault="00516F56" w:rsidP="00516F56">
      <w:pPr>
        <w:spacing w:after="0" w:line="300" w:lineRule="auto"/>
        <w:jc w:val="both"/>
        <w:rPr>
          <w:rFonts w:ascii="Arial" w:eastAsia="Times New Roman" w:hAnsi="Arial" w:cs="Arial"/>
          <w:lang w:eastAsia="pl-PL"/>
        </w:rPr>
      </w:pPr>
      <w:r w:rsidRPr="00516F56">
        <w:rPr>
          <w:rFonts w:ascii="Arial" w:eastAsia="Times New Roman" w:hAnsi="Arial" w:cs="Arial"/>
          <w:lang w:eastAsia="pl-PL"/>
        </w:rPr>
        <w:lastRenderedPageBreak/>
        <w:t xml:space="preserve">Ponadto uchwalona ustawa wdraża też do polskiego porządku prawnego wynikające z orzecznictwa Trybunału Sprawiedliwości Unii Europejskiej (TSUE) rozstrzygnięcia tego organu sądowego, w szczególności poprzez: </w:t>
      </w:r>
    </w:p>
    <w:p w14:paraId="35822FAD" w14:textId="190BBC42" w:rsidR="00F23856" w:rsidRPr="00F23856" w:rsidRDefault="00516F56" w:rsidP="00F23856">
      <w:pPr>
        <w:pStyle w:val="Akapitzlist"/>
        <w:numPr>
          <w:ilvl w:val="1"/>
          <w:numId w:val="30"/>
        </w:numPr>
        <w:spacing w:after="0" w:line="300" w:lineRule="auto"/>
        <w:ind w:left="567" w:hanging="283"/>
        <w:jc w:val="both"/>
        <w:rPr>
          <w:rFonts w:ascii="Arial" w:eastAsia="Times New Roman" w:hAnsi="Arial" w:cs="Arial"/>
          <w:lang w:eastAsia="pl-PL"/>
        </w:rPr>
      </w:pPr>
      <w:r w:rsidRPr="00F23856">
        <w:rPr>
          <w:rFonts w:ascii="Arial" w:eastAsia="Times New Roman" w:hAnsi="Arial" w:cs="Arial"/>
          <w:lang w:eastAsia="pl-PL"/>
        </w:rPr>
        <w:t xml:space="preserve">wprowadzenie możliwości uznania za odrębnego podatnika VAT każdej z osób fizycznych prowadzących w sposób samodzielny działalność rolniczą w oparciu o wspólne gospodarstwo rolne, leśne lub rybackie (wyrok z 24 marca 2022 r. w sprawie C-697/20 W.G.); </w:t>
      </w:r>
    </w:p>
    <w:p w14:paraId="6B909AD7" w14:textId="7FCCF9A8" w:rsidR="00F23856" w:rsidRPr="00F23856" w:rsidRDefault="00516F56" w:rsidP="00F23856">
      <w:pPr>
        <w:pStyle w:val="Akapitzlist"/>
        <w:numPr>
          <w:ilvl w:val="1"/>
          <w:numId w:val="30"/>
        </w:numPr>
        <w:spacing w:after="0" w:line="300" w:lineRule="auto"/>
        <w:ind w:left="567" w:hanging="283"/>
        <w:jc w:val="both"/>
        <w:rPr>
          <w:rFonts w:ascii="Arial" w:eastAsia="Times New Roman" w:hAnsi="Arial" w:cs="Arial"/>
          <w:lang w:eastAsia="pl-PL"/>
        </w:rPr>
      </w:pPr>
      <w:r w:rsidRPr="00F23856">
        <w:rPr>
          <w:rFonts w:ascii="Arial" w:eastAsia="Times New Roman" w:hAnsi="Arial" w:cs="Arial"/>
          <w:lang w:eastAsia="pl-PL"/>
        </w:rPr>
        <w:t xml:space="preserve">wprowadzenie możliwości zastosowania stawki 0 % do usług ubezpieczenia oraz usług dotyczących importu towarów zwolnionych od podatku, w przypadku gdy wartość tych usług została włączona do podstawy opodatkowania (wyrok z 4 października 2017 r. w sprawie C273/16 Federal Express Europe); </w:t>
      </w:r>
    </w:p>
    <w:p w14:paraId="488A7E7D" w14:textId="5F9A1F86" w:rsidR="00F23856" w:rsidRPr="00F23856" w:rsidRDefault="00516F56" w:rsidP="00F23856">
      <w:pPr>
        <w:pStyle w:val="Akapitzlist"/>
        <w:numPr>
          <w:ilvl w:val="1"/>
          <w:numId w:val="30"/>
        </w:numPr>
        <w:spacing w:after="0" w:line="300" w:lineRule="auto"/>
        <w:ind w:left="567" w:hanging="283"/>
        <w:jc w:val="both"/>
        <w:rPr>
          <w:rFonts w:ascii="Arial" w:eastAsia="Times New Roman" w:hAnsi="Arial" w:cs="Arial"/>
          <w:lang w:eastAsia="pl-PL"/>
        </w:rPr>
      </w:pPr>
      <w:r w:rsidRPr="00F23856">
        <w:rPr>
          <w:rFonts w:ascii="Arial" w:eastAsia="Times New Roman" w:hAnsi="Arial" w:cs="Arial"/>
          <w:lang w:eastAsia="pl-PL"/>
        </w:rPr>
        <w:t>zmiana przesłanki do odmowy odliczenia podatku naliczonego poprzez usunięcie powiązania przesłanki z uznaniem czynności za pozorne lub dotknięte nieważnością na podstawie przepisów krajowego prawa cywilnego oraz zmiany dostosowujące w tym zakresie odnoszące się do mechanizmu podzielonej płatności i dodatkowego zobowiązania podatkowego (wyrok z 25 maja 2023 r. w sprawie C</w:t>
      </w:r>
      <w:r w:rsidRPr="00F23856">
        <w:rPr>
          <w:rFonts w:ascii="Cambria Math" w:eastAsia="Times New Roman" w:hAnsi="Cambria Math" w:cs="Cambria Math"/>
          <w:lang w:eastAsia="pl-PL"/>
        </w:rPr>
        <w:t>‑</w:t>
      </w:r>
      <w:r w:rsidRPr="00F23856">
        <w:rPr>
          <w:rFonts w:ascii="Arial" w:eastAsia="Times New Roman" w:hAnsi="Arial" w:cs="Arial"/>
          <w:lang w:eastAsia="pl-PL"/>
        </w:rPr>
        <w:t xml:space="preserve">114/22). </w:t>
      </w:r>
    </w:p>
    <w:p w14:paraId="5D0B856D" w14:textId="77777777" w:rsidR="00F23856" w:rsidRDefault="00516F56" w:rsidP="00516F56">
      <w:pPr>
        <w:spacing w:after="0" w:line="300" w:lineRule="auto"/>
        <w:jc w:val="both"/>
        <w:rPr>
          <w:rFonts w:ascii="Arial" w:eastAsia="Times New Roman" w:hAnsi="Arial" w:cs="Arial"/>
          <w:lang w:eastAsia="pl-PL"/>
        </w:rPr>
      </w:pPr>
      <w:r w:rsidRPr="00516F56">
        <w:rPr>
          <w:rFonts w:ascii="Arial" w:eastAsia="Times New Roman" w:hAnsi="Arial" w:cs="Arial"/>
          <w:lang w:eastAsia="pl-PL"/>
        </w:rPr>
        <w:t xml:space="preserve">Dodatkowo, nowelizacja wprowadza do polskiego porządku prawnego nową procedurę „składu VAT”, która ma na celu ułatwienie rozliczeń w handlu dla wybranych grup towarów wymienionych w nowym Załączniku nr 17 do ustawy. </w:t>
      </w:r>
    </w:p>
    <w:p w14:paraId="1788D0D9" w14:textId="77777777" w:rsidR="00F23856" w:rsidRDefault="00F23856" w:rsidP="00516F56">
      <w:pPr>
        <w:spacing w:after="0" w:line="300" w:lineRule="auto"/>
        <w:jc w:val="both"/>
        <w:rPr>
          <w:rFonts w:ascii="Arial" w:eastAsia="Times New Roman" w:hAnsi="Arial" w:cs="Arial"/>
          <w:lang w:eastAsia="pl-PL"/>
        </w:rPr>
      </w:pPr>
    </w:p>
    <w:p w14:paraId="5FB9CEE0" w14:textId="77777777" w:rsidR="00F23856" w:rsidRDefault="00516F56" w:rsidP="00516F56">
      <w:pPr>
        <w:spacing w:after="0" w:line="300" w:lineRule="auto"/>
        <w:jc w:val="both"/>
        <w:rPr>
          <w:rFonts w:ascii="Arial" w:eastAsia="Times New Roman" w:hAnsi="Arial" w:cs="Arial"/>
          <w:lang w:eastAsia="pl-PL"/>
        </w:rPr>
      </w:pPr>
      <w:r w:rsidRPr="00516F56">
        <w:rPr>
          <w:rFonts w:ascii="Arial" w:eastAsia="Times New Roman" w:hAnsi="Arial" w:cs="Arial"/>
          <w:lang w:eastAsia="pl-PL"/>
        </w:rPr>
        <w:t xml:space="preserve">Ustawa ma wejść w życie z dniem 1 stycznia 2027 r., z wyjątkiem:  </w:t>
      </w:r>
    </w:p>
    <w:p w14:paraId="67C3E187" w14:textId="3B1C7D80" w:rsidR="00F23856" w:rsidRPr="00F23856" w:rsidRDefault="00516F56" w:rsidP="00F23856">
      <w:pPr>
        <w:pStyle w:val="Akapitzlist"/>
        <w:numPr>
          <w:ilvl w:val="1"/>
          <w:numId w:val="28"/>
        </w:numPr>
        <w:spacing w:after="0" w:line="300" w:lineRule="auto"/>
        <w:ind w:left="567" w:hanging="283"/>
        <w:jc w:val="both"/>
        <w:rPr>
          <w:rFonts w:ascii="Arial" w:eastAsia="Times New Roman" w:hAnsi="Arial" w:cs="Arial"/>
          <w:lang w:eastAsia="pl-PL"/>
        </w:rPr>
      </w:pPr>
      <w:r w:rsidRPr="00F23856">
        <w:rPr>
          <w:rFonts w:ascii="Arial" w:eastAsia="Times New Roman" w:hAnsi="Arial" w:cs="Arial"/>
          <w:lang w:eastAsia="pl-PL"/>
        </w:rPr>
        <w:t xml:space="preserve">art. 1 pkt 13 lit. b, który wchodzi w życie z dniem 1 grudnia 2026 r.;  </w:t>
      </w:r>
    </w:p>
    <w:p w14:paraId="58636B1C" w14:textId="5D898ACA" w:rsidR="00F23856" w:rsidRPr="00F23856" w:rsidRDefault="00516F56" w:rsidP="00F23856">
      <w:pPr>
        <w:pStyle w:val="Akapitzlist"/>
        <w:numPr>
          <w:ilvl w:val="1"/>
          <w:numId w:val="28"/>
        </w:numPr>
        <w:spacing w:after="0" w:line="300" w:lineRule="auto"/>
        <w:ind w:left="567" w:hanging="283"/>
        <w:jc w:val="both"/>
        <w:rPr>
          <w:rFonts w:ascii="Arial" w:eastAsia="Times New Roman" w:hAnsi="Arial" w:cs="Arial"/>
          <w:lang w:eastAsia="pl-PL"/>
        </w:rPr>
      </w:pPr>
      <w:r w:rsidRPr="00F23856">
        <w:rPr>
          <w:rFonts w:ascii="Arial" w:eastAsia="Times New Roman" w:hAnsi="Arial" w:cs="Arial"/>
          <w:lang w:eastAsia="pl-PL"/>
        </w:rPr>
        <w:t xml:space="preserve">art. 1 pkt 36 lit. a, który wchodzi w życie z dniem 1 lipca 2027 r.;  </w:t>
      </w:r>
    </w:p>
    <w:p w14:paraId="1D5332E1" w14:textId="630FE338" w:rsidR="00F23856" w:rsidRPr="00F23856" w:rsidRDefault="00516F56" w:rsidP="00F23856">
      <w:pPr>
        <w:pStyle w:val="Akapitzlist"/>
        <w:numPr>
          <w:ilvl w:val="1"/>
          <w:numId w:val="28"/>
        </w:numPr>
        <w:spacing w:after="0" w:line="300" w:lineRule="auto"/>
        <w:ind w:left="567" w:hanging="283"/>
        <w:jc w:val="both"/>
        <w:rPr>
          <w:rFonts w:ascii="Arial" w:eastAsia="Times New Roman" w:hAnsi="Arial" w:cs="Arial"/>
          <w:lang w:eastAsia="pl-PL"/>
        </w:rPr>
      </w:pPr>
      <w:r w:rsidRPr="00F23856">
        <w:rPr>
          <w:rFonts w:ascii="Arial" w:eastAsia="Times New Roman" w:hAnsi="Arial" w:cs="Arial"/>
          <w:lang w:eastAsia="pl-PL"/>
        </w:rPr>
        <w:t xml:space="preserve">art. 1 pkt 27 i art. 7, które wchodzą w życie z dniem 1 stycznia 2028 r.;  </w:t>
      </w:r>
    </w:p>
    <w:p w14:paraId="44418797" w14:textId="70BE7ED7" w:rsidR="00516F56" w:rsidRPr="00F23856" w:rsidRDefault="00516F56" w:rsidP="00F23856">
      <w:pPr>
        <w:pStyle w:val="Akapitzlist"/>
        <w:numPr>
          <w:ilvl w:val="1"/>
          <w:numId w:val="28"/>
        </w:numPr>
        <w:spacing w:after="0" w:line="300" w:lineRule="auto"/>
        <w:ind w:left="567" w:hanging="283"/>
        <w:jc w:val="both"/>
        <w:rPr>
          <w:rStyle w:val="markedcontent"/>
          <w:rFonts w:ascii="Arial" w:hAnsi="Arial" w:cs="Arial"/>
        </w:rPr>
      </w:pPr>
      <w:r w:rsidRPr="00F23856">
        <w:rPr>
          <w:rFonts w:ascii="Arial" w:eastAsia="Times New Roman" w:hAnsi="Arial" w:cs="Arial"/>
          <w:lang w:eastAsia="pl-PL"/>
        </w:rPr>
        <w:t>art. 1 pkt 1, pkt 33 lit. b oraz pkt 34 lit. b, które wchodzą w życie z dniem 1 lipca 2028 r.</w:t>
      </w:r>
    </w:p>
    <w:p w14:paraId="3E7E9306" w14:textId="77777777" w:rsidR="000077C7" w:rsidRDefault="000077C7" w:rsidP="000077C7">
      <w:pPr>
        <w:spacing w:after="0" w:line="300" w:lineRule="auto"/>
        <w:jc w:val="both"/>
        <w:rPr>
          <w:rFonts w:ascii="Arial" w:hAnsi="Arial" w:cs="Arial"/>
        </w:rPr>
      </w:pPr>
    </w:p>
    <w:p w14:paraId="18DB0FDE" w14:textId="64AEC262" w:rsidR="000077C7" w:rsidRPr="00CC3113" w:rsidRDefault="00CC3113" w:rsidP="000077C7">
      <w:pPr>
        <w:pStyle w:val="Akapitzlist"/>
        <w:numPr>
          <w:ilvl w:val="0"/>
          <w:numId w:val="2"/>
        </w:numPr>
        <w:spacing w:after="0" w:line="300" w:lineRule="auto"/>
        <w:ind w:left="426" w:hanging="426"/>
        <w:jc w:val="both"/>
        <w:rPr>
          <w:rFonts w:ascii="Arial" w:eastAsia="Times New Roman" w:hAnsi="Arial" w:cs="Arial"/>
          <w:b/>
          <w:bCs/>
          <w:u w:val="single"/>
          <w:lang w:eastAsia="pl-PL"/>
        </w:rPr>
      </w:pPr>
      <w:r w:rsidRPr="00CC3113">
        <w:rPr>
          <w:rFonts w:ascii="Arial" w:hAnsi="Arial" w:cs="Arial"/>
          <w:b/>
          <w:bCs/>
          <w:u w:val="single"/>
        </w:rPr>
        <w:t>Rozporządzenie Ministra Finansów i Gospodarki z dnia 24 września 2026 r. w sprawie wzorów pełnomocnictwa szczególnego i pełnomocnictwa do doręczeń oraz wzorów zawiadomienia o zmianie, odwołaniu lub wypowiedzeniu tych pełnomocnictw</w:t>
      </w:r>
      <w:r w:rsidR="000077C7" w:rsidRPr="00CC3113">
        <w:rPr>
          <w:rFonts w:ascii="Arial" w:hAnsi="Arial" w:cs="Arial"/>
          <w:b/>
          <w:bCs/>
          <w:u w:val="single"/>
        </w:rPr>
        <w:t xml:space="preserve">. </w:t>
      </w:r>
    </w:p>
    <w:p w14:paraId="5DADB7A6" w14:textId="77777777" w:rsidR="00CC3113" w:rsidRDefault="00CC3113" w:rsidP="00CC3113">
      <w:pPr>
        <w:spacing w:after="0" w:line="300" w:lineRule="auto"/>
        <w:jc w:val="both"/>
        <w:rPr>
          <w:rFonts w:ascii="Arial" w:eastAsia="Times New Roman" w:hAnsi="Arial" w:cs="Arial"/>
          <w:lang w:eastAsia="pl-PL"/>
        </w:rPr>
      </w:pPr>
    </w:p>
    <w:p w14:paraId="69E24717" w14:textId="738CD34A" w:rsidR="00CC3113" w:rsidRDefault="00CC3113" w:rsidP="00CC3113">
      <w:pPr>
        <w:spacing w:after="0" w:line="300" w:lineRule="auto"/>
        <w:jc w:val="both"/>
        <w:rPr>
          <w:rFonts w:ascii="Arial" w:eastAsia="Times New Roman" w:hAnsi="Arial" w:cs="Arial"/>
          <w:lang w:eastAsia="pl-PL"/>
        </w:rPr>
      </w:pPr>
      <w:r w:rsidRPr="00CC3113">
        <w:rPr>
          <w:rFonts w:ascii="Arial" w:eastAsia="Times New Roman" w:hAnsi="Arial" w:cs="Arial"/>
          <w:lang w:eastAsia="pl-PL"/>
        </w:rPr>
        <w:t>Powyższy akt prawny ogłoszony został 29 września 2026 roku w Dzienniku Ustaw (Dz.U. z 2026, poz. 127</w:t>
      </w:r>
      <w:r>
        <w:rPr>
          <w:rFonts w:ascii="Arial" w:eastAsia="Times New Roman" w:hAnsi="Arial" w:cs="Arial"/>
          <w:lang w:eastAsia="pl-PL"/>
        </w:rPr>
        <w:t>5</w:t>
      </w:r>
      <w:r w:rsidRPr="00CC3113">
        <w:rPr>
          <w:rFonts w:ascii="Arial" w:eastAsia="Times New Roman" w:hAnsi="Arial" w:cs="Arial"/>
          <w:lang w:eastAsia="pl-PL"/>
        </w:rPr>
        <w:t>).</w:t>
      </w:r>
    </w:p>
    <w:p w14:paraId="233FF300" w14:textId="77777777" w:rsidR="00CC3113" w:rsidRDefault="00CC3113" w:rsidP="00CC3113">
      <w:pPr>
        <w:spacing w:after="0" w:line="300" w:lineRule="auto"/>
        <w:jc w:val="both"/>
        <w:rPr>
          <w:rFonts w:ascii="Arial" w:eastAsia="Times New Roman" w:hAnsi="Arial" w:cs="Arial"/>
          <w:lang w:eastAsia="pl-PL"/>
        </w:rPr>
      </w:pPr>
    </w:p>
    <w:p w14:paraId="39EDA312" w14:textId="7E3C4DB4" w:rsidR="00CC3113" w:rsidRDefault="00CC3113" w:rsidP="00CC3113">
      <w:pPr>
        <w:spacing w:after="0" w:line="300" w:lineRule="auto"/>
        <w:jc w:val="both"/>
        <w:rPr>
          <w:rFonts w:ascii="Arial" w:eastAsia="Times New Roman" w:hAnsi="Arial" w:cs="Arial"/>
          <w:lang w:eastAsia="pl-PL"/>
        </w:rPr>
      </w:pPr>
      <w:r w:rsidRPr="00CC3113">
        <w:rPr>
          <w:rFonts w:ascii="Arial" w:eastAsia="Times New Roman" w:hAnsi="Arial" w:cs="Arial"/>
          <w:lang w:eastAsia="pl-PL"/>
        </w:rPr>
        <w:t>Rozporządzenie zostało wydane na podstawie art. 138j § 1 pkt 2 ustawy z dnia 29 sierpnia 1997 r. – Ordynacja podatkowa (Dz. U. z 2026 r. poz. 622, z późn. zm.)</w:t>
      </w:r>
      <w:r>
        <w:rPr>
          <w:rFonts w:ascii="Arial" w:eastAsia="Times New Roman" w:hAnsi="Arial" w:cs="Arial"/>
          <w:lang w:eastAsia="pl-PL"/>
        </w:rPr>
        <w:t>.</w:t>
      </w:r>
    </w:p>
    <w:p w14:paraId="07772E2B" w14:textId="77777777" w:rsidR="00CC3113" w:rsidRDefault="00CC3113" w:rsidP="00CC3113">
      <w:pPr>
        <w:spacing w:after="0" w:line="300" w:lineRule="auto"/>
        <w:jc w:val="both"/>
        <w:rPr>
          <w:rFonts w:ascii="Arial" w:eastAsia="Times New Roman" w:hAnsi="Arial" w:cs="Arial"/>
          <w:lang w:eastAsia="pl-PL"/>
        </w:rPr>
      </w:pPr>
      <w:r>
        <w:rPr>
          <w:rFonts w:ascii="Arial" w:eastAsia="Times New Roman" w:hAnsi="Arial" w:cs="Arial"/>
          <w:lang w:eastAsia="pl-PL"/>
        </w:rPr>
        <w:t>Rozporządzenie o</w:t>
      </w:r>
      <w:r w:rsidRPr="00CC3113">
        <w:rPr>
          <w:rFonts w:ascii="Arial" w:eastAsia="Times New Roman" w:hAnsi="Arial" w:cs="Arial"/>
          <w:lang w:eastAsia="pl-PL"/>
        </w:rPr>
        <w:t xml:space="preserve">kreśla wzory: </w:t>
      </w:r>
    </w:p>
    <w:p w14:paraId="72152D60" w14:textId="4F5214DB" w:rsidR="00CC3113" w:rsidRPr="00CC3113" w:rsidRDefault="00CC3113" w:rsidP="00CC3113">
      <w:pPr>
        <w:pStyle w:val="Akapitzlist"/>
        <w:numPr>
          <w:ilvl w:val="1"/>
          <w:numId w:val="32"/>
        </w:numPr>
        <w:spacing w:after="0" w:line="300" w:lineRule="auto"/>
        <w:ind w:left="567" w:hanging="283"/>
        <w:jc w:val="both"/>
        <w:rPr>
          <w:rFonts w:ascii="Arial" w:eastAsia="Times New Roman" w:hAnsi="Arial" w:cs="Arial"/>
          <w:lang w:eastAsia="pl-PL"/>
        </w:rPr>
      </w:pPr>
      <w:r w:rsidRPr="00CC3113">
        <w:rPr>
          <w:rFonts w:ascii="Arial" w:eastAsia="Times New Roman" w:hAnsi="Arial" w:cs="Arial"/>
          <w:lang w:eastAsia="pl-PL"/>
        </w:rPr>
        <w:t xml:space="preserve">pełnomocnictwa szczególnego, stanowiący załącznik nr 1 do rozporządzenia; </w:t>
      </w:r>
    </w:p>
    <w:p w14:paraId="4D6F7DE3" w14:textId="53CD333F" w:rsidR="00CC3113" w:rsidRPr="00CC3113" w:rsidRDefault="00CC3113" w:rsidP="00CC3113">
      <w:pPr>
        <w:pStyle w:val="Akapitzlist"/>
        <w:numPr>
          <w:ilvl w:val="1"/>
          <w:numId w:val="32"/>
        </w:numPr>
        <w:spacing w:after="0" w:line="300" w:lineRule="auto"/>
        <w:ind w:left="567" w:hanging="283"/>
        <w:jc w:val="both"/>
        <w:rPr>
          <w:rFonts w:ascii="Arial" w:eastAsia="Times New Roman" w:hAnsi="Arial" w:cs="Arial"/>
          <w:lang w:eastAsia="pl-PL"/>
        </w:rPr>
      </w:pPr>
      <w:r w:rsidRPr="00CC3113">
        <w:rPr>
          <w:rFonts w:ascii="Arial" w:eastAsia="Times New Roman" w:hAnsi="Arial" w:cs="Arial"/>
          <w:lang w:eastAsia="pl-PL"/>
        </w:rPr>
        <w:t>pełnomocnictwa do doręczeń, stanowiący załącznik nr 2 do rozporządzenia;</w:t>
      </w:r>
    </w:p>
    <w:p w14:paraId="51FBC971" w14:textId="38FD404D" w:rsidR="00CC3113" w:rsidRPr="00CC3113" w:rsidRDefault="00CC3113" w:rsidP="00CC3113">
      <w:pPr>
        <w:pStyle w:val="Akapitzlist"/>
        <w:numPr>
          <w:ilvl w:val="1"/>
          <w:numId w:val="32"/>
        </w:numPr>
        <w:spacing w:after="0" w:line="300" w:lineRule="auto"/>
        <w:ind w:left="567" w:hanging="283"/>
        <w:jc w:val="both"/>
        <w:rPr>
          <w:rFonts w:ascii="Arial" w:eastAsia="Times New Roman" w:hAnsi="Arial" w:cs="Arial"/>
          <w:lang w:eastAsia="pl-PL"/>
        </w:rPr>
      </w:pPr>
      <w:r w:rsidRPr="00CC3113">
        <w:rPr>
          <w:rFonts w:ascii="Arial" w:eastAsia="Times New Roman" w:hAnsi="Arial" w:cs="Arial"/>
          <w:lang w:eastAsia="pl-PL"/>
        </w:rPr>
        <w:t>zawiadomienia o zmianie, odwołaniu lub wypowiedzeniu pełnomocnictwa szczególnego, stanowiący załącznik nr 3 do rozporządzenia;</w:t>
      </w:r>
    </w:p>
    <w:p w14:paraId="362C1B1F" w14:textId="549747E9" w:rsidR="00CC3113" w:rsidRPr="00CC3113" w:rsidRDefault="00CC3113" w:rsidP="00CC3113">
      <w:pPr>
        <w:pStyle w:val="Akapitzlist"/>
        <w:numPr>
          <w:ilvl w:val="1"/>
          <w:numId w:val="32"/>
        </w:numPr>
        <w:spacing w:after="0" w:line="300" w:lineRule="auto"/>
        <w:ind w:left="567" w:hanging="283"/>
        <w:jc w:val="both"/>
        <w:rPr>
          <w:rFonts w:ascii="Arial" w:eastAsia="Times New Roman" w:hAnsi="Arial" w:cs="Arial"/>
          <w:lang w:eastAsia="pl-PL"/>
        </w:rPr>
      </w:pPr>
      <w:r w:rsidRPr="00CC3113">
        <w:rPr>
          <w:rFonts w:ascii="Arial" w:eastAsia="Times New Roman" w:hAnsi="Arial" w:cs="Arial"/>
          <w:lang w:eastAsia="pl-PL"/>
        </w:rPr>
        <w:t xml:space="preserve">zawiadomienia o zmianie, odwołaniu lub wypowiedzeniu pełnomocnictwa do doręczeń, stanowiący załącznik nr 4 do rozporządzenia. </w:t>
      </w:r>
    </w:p>
    <w:p w14:paraId="6B7A3DF1" w14:textId="77777777" w:rsidR="00CC3113" w:rsidRDefault="00CC3113" w:rsidP="00CC3113">
      <w:pPr>
        <w:spacing w:after="0" w:line="300" w:lineRule="auto"/>
        <w:jc w:val="both"/>
        <w:rPr>
          <w:rFonts w:ascii="Arial" w:eastAsia="Times New Roman" w:hAnsi="Arial" w:cs="Arial"/>
          <w:lang w:eastAsia="pl-PL"/>
        </w:rPr>
      </w:pPr>
      <w:r w:rsidRPr="00CC3113">
        <w:rPr>
          <w:rFonts w:ascii="Arial" w:eastAsia="Times New Roman" w:hAnsi="Arial" w:cs="Arial"/>
          <w:lang w:eastAsia="pl-PL"/>
        </w:rPr>
        <w:lastRenderedPageBreak/>
        <w:t xml:space="preserve">Traci moc rozporządzenie Ministra Finansów z dnia 9 października 2024 r. w sprawie wzorów pełnomocnictwa szczególnego i pełnomocnictwa do doręczeń oraz wzorów zawiadomienia o zmianie, odwołaniu lub wypowiedzeniu tych pełnomocnictw (Dz. U. poz. 1549). </w:t>
      </w:r>
    </w:p>
    <w:p w14:paraId="67AED5C2" w14:textId="77777777" w:rsidR="00CC3113" w:rsidRDefault="00CC3113" w:rsidP="00CC3113">
      <w:pPr>
        <w:spacing w:after="0" w:line="300" w:lineRule="auto"/>
        <w:jc w:val="both"/>
        <w:rPr>
          <w:rFonts w:ascii="Arial" w:eastAsia="Times New Roman" w:hAnsi="Arial" w:cs="Arial"/>
          <w:lang w:eastAsia="pl-PL"/>
        </w:rPr>
      </w:pPr>
    </w:p>
    <w:p w14:paraId="5A80B7D2" w14:textId="176D337D" w:rsidR="000077C7" w:rsidRPr="00F63421" w:rsidRDefault="00CC3113" w:rsidP="00F63421">
      <w:pPr>
        <w:spacing w:after="0" w:line="300" w:lineRule="auto"/>
        <w:jc w:val="both"/>
        <w:rPr>
          <w:rFonts w:ascii="Arial" w:eastAsia="Times New Roman" w:hAnsi="Arial" w:cs="Arial"/>
          <w:lang w:eastAsia="pl-PL"/>
        </w:rPr>
      </w:pPr>
      <w:r w:rsidRPr="00CC3113">
        <w:rPr>
          <w:rFonts w:ascii="Arial" w:eastAsia="Times New Roman" w:hAnsi="Arial" w:cs="Arial"/>
          <w:lang w:eastAsia="pl-PL"/>
        </w:rPr>
        <w:t>Rozporządzenie w</w:t>
      </w:r>
      <w:r>
        <w:rPr>
          <w:rFonts w:ascii="Arial" w:eastAsia="Times New Roman" w:hAnsi="Arial" w:cs="Arial"/>
          <w:lang w:eastAsia="pl-PL"/>
        </w:rPr>
        <w:t>eszło</w:t>
      </w:r>
      <w:r w:rsidRPr="00CC3113">
        <w:rPr>
          <w:rFonts w:ascii="Arial" w:eastAsia="Times New Roman" w:hAnsi="Arial" w:cs="Arial"/>
          <w:lang w:eastAsia="pl-PL"/>
        </w:rPr>
        <w:t xml:space="preserve"> w życie z dniem 1 października 2026 r.</w:t>
      </w:r>
    </w:p>
    <w:p w14:paraId="1718E63B" w14:textId="77777777" w:rsidR="000077C7" w:rsidRDefault="000077C7" w:rsidP="000077C7">
      <w:pPr>
        <w:spacing w:after="0" w:line="300" w:lineRule="auto"/>
        <w:jc w:val="both"/>
        <w:rPr>
          <w:rFonts w:ascii="Arial" w:hAnsi="Arial" w:cs="Arial"/>
        </w:rPr>
      </w:pPr>
    </w:p>
    <w:p w14:paraId="7F7BC340" w14:textId="77777777" w:rsidR="00580328" w:rsidRDefault="00580328" w:rsidP="000077C7">
      <w:pPr>
        <w:spacing w:after="0" w:line="300" w:lineRule="auto"/>
      </w:pPr>
    </w:p>
    <w:sectPr w:rsidR="005803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776E"/>
    <w:multiLevelType w:val="hybridMultilevel"/>
    <w:tmpl w:val="1BFE53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425A59"/>
    <w:multiLevelType w:val="hybridMultilevel"/>
    <w:tmpl w:val="1E7CEAC0"/>
    <w:lvl w:ilvl="0" w:tplc="FFFFFFFF">
      <w:start w:val="1"/>
      <w:numFmt w:val="decimal"/>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A22C3F"/>
    <w:multiLevelType w:val="hybridMultilevel"/>
    <w:tmpl w:val="34D2AA16"/>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C005F1"/>
    <w:multiLevelType w:val="hybridMultilevel"/>
    <w:tmpl w:val="6F92AF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4137F3"/>
    <w:multiLevelType w:val="hybridMultilevel"/>
    <w:tmpl w:val="260633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2215E3"/>
    <w:multiLevelType w:val="hybridMultilevel"/>
    <w:tmpl w:val="BF8267C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6E7D6C"/>
    <w:multiLevelType w:val="hybridMultilevel"/>
    <w:tmpl w:val="EEEC64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423F91"/>
    <w:multiLevelType w:val="hybridMultilevel"/>
    <w:tmpl w:val="E018AA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7E64FCE"/>
    <w:multiLevelType w:val="hybridMultilevel"/>
    <w:tmpl w:val="ABB0EF4E"/>
    <w:lvl w:ilvl="0" w:tplc="7CDEB80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DA7641"/>
    <w:multiLevelType w:val="hybridMultilevel"/>
    <w:tmpl w:val="BCE898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A50EB6"/>
    <w:multiLevelType w:val="hybridMultilevel"/>
    <w:tmpl w:val="FD040D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70F3CF5"/>
    <w:multiLevelType w:val="hybridMultilevel"/>
    <w:tmpl w:val="81EA4F8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D893DA2"/>
    <w:multiLevelType w:val="hybridMultilevel"/>
    <w:tmpl w:val="5AA253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0E4088E"/>
    <w:multiLevelType w:val="hybridMultilevel"/>
    <w:tmpl w:val="CAF21E52"/>
    <w:lvl w:ilvl="0" w:tplc="43D8372A">
      <w:start w:val="1"/>
      <w:numFmt w:val="decimal"/>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1C4062C"/>
    <w:multiLevelType w:val="hybridMultilevel"/>
    <w:tmpl w:val="B70AA71E"/>
    <w:lvl w:ilvl="0" w:tplc="04150017">
      <w:start w:val="1"/>
      <w:numFmt w:val="lowerLetter"/>
      <w:lvlText w:val="%1)"/>
      <w:lvlJc w:val="left"/>
      <w:pPr>
        <w:ind w:left="720" w:hanging="360"/>
      </w:pPr>
    </w:lvl>
    <w:lvl w:ilvl="1" w:tplc="D586F594">
      <w:start w:val="7"/>
      <w:numFmt w:val="bullet"/>
      <w:lvlText w:val=""/>
      <w:lvlJc w:val="left"/>
      <w:pPr>
        <w:ind w:left="1788" w:hanging="708"/>
      </w:pPr>
      <w:rPr>
        <w:rFonts w:ascii="Symbol" w:eastAsiaTheme="minorHAnsi" w:hAnsi="Symbol" w:cstheme="minorBid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4EC22DD"/>
    <w:multiLevelType w:val="hybridMultilevel"/>
    <w:tmpl w:val="462431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A717BC2"/>
    <w:multiLevelType w:val="hybridMultilevel"/>
    <w:tmpl w:val="4F8036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C980FD5"/>
    <w:multiLevelType w:val="hybridMultilevel"/>
    <w:tmpl w:val="E5908C22"/>
    <w:lvl w:ilvl="0" w:tplc="0415000F">
      <w:start w:val="1"/>
      <w:numFmt w:val="decimal"/>
      <w:lvlText w:val="%1."/>
      <w:lvlJc w:val="left"/>
      <w:pPr>
        <w:ind w:left="720" w:hanging="360"/>
      </w:pPr>
      <w:rPr>
        <w:rFonts w:hint="default"/>
      </w:rPr>
    </w:lvl>
    <w:lvl w:ilvl="1" w:tplc="92D212C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791689"/>
    <w:multiLevelType w:val="hybridMultilevel"/>
    <w:tmpl w:val="939684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1ED00C6"/>
    <w:multiLevelType w:val="hybridMultilevel"/>
    <w:tmpl w:val="82C2C7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626F0E89"/>
    <w:multiLevelType w:val="hybridMultilevel"/>
    <w:tmpl w:val="89D2DD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B2E1E78"/>
    <w:multiLevelType w:val="hybridMultilevel"/>
    <w:tmpl w:val="2910BC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C8C12E6"/>
    <w:multiLevelType w:val="hybridMultilevel"/>
    <w:tmpl w:val="675E08F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EE803C3"/>
    <w:multiLevelType w:val="hybridMultilevel"/>
    <w:tmpl w:val="D8B65D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F764490"/>
    <w:multiLevelType w:val="hybridMultilevel"/>
    <w:tmpl w:val="F27408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20E5CD9"/>
    <w:multiLevelType w:val="hybridMultilevel"/>
    <w:tmpl w:val="8B4EB50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41C3552"/>
    <w:multiLevelType w:val="hybridMultilevel"/>
    <w:tmpl w:val="7CBCCD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8A05A19"/>
    <w:multiLevelType w:val="hybridMultilevel"/>
    <w:tmpl w:val="8062B82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3A0B29"/>
    <w:multiLevelType w:val="hybridMultilevel"/>
    <w:tmpl w:val="A4AE3B5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96B6277"/>
    <w:multiLevelType w:val="hybridMultilevel"/>
    <w:tmpl w:val="AC62AF2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B524274"/>
    <w:multiLevelType w:val="hybridMultilevel"/>
    <w:tmpl w:val="50B0DD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FFB12E0"/>
    <w:multiLevelType w:val="hybridMultilevel"/>
    <w:tmpl w:val="AA563D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29027726">
    <w:abstractNumId w:val="8"/>
  </w:num>
  <w:num w:numId="2" w16cid:durableId="3118319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0761560">
    <w:abstractNumId w:val="3"/>
  </w:num>
  <w:num w:numId="4" w16cid:durableId="5788216">
    <w:abstractNumId w:val="17"/>
  </w:num>
  <w:num w:numId="5" w16cid:durableId="1820147117">
    <w:abstractNumId w:val="13"/>
  </w:num>
  <w:num w:numId="6" w16cid:durableId="1413043552">
    <w:abstractNumId w:val="0"/>
  </w:num>
  <w:num w:numId="7" w16cid:durableId="201939598">
    <w:abstractNumId w:val="11"/>
  </w:num>
  <w:num w:numId="8" w16cid:durableId="1633561879">
    <w:abstractNumId w:val="1"/>
  </w:num>
  <w:num w:numId="9" w16cid:durableId="2134933455">
    <w:abstractNumId w:val="21"/>
  </w:num>
  <w:num w:numId="10" w16cid:durableId="1109395895">
    <w:abstractNumId w:val="26"/>
  </w:num>
  <w:num w:numId="11" w16cid:durableId="984089325">
    <w:abstractNumId w:val="20"/>
  </w:num>
  <w:num w:numId="12" w16cid:durableId="330375954">
    <w:abstractNumId w:val="4"/>
  </w:num>
  <w:num w:numId="13" w16cid:durableId="487291032">
    <w:abstractNumId w:val="9"/>
  </w:num>
  <w:num w:numId="14" w16cid:durableId="50620915">
    <w:abstractNumId w:val="14"/>
  </w:num>
  <w:num w:numId="15" w16cid:durableId="415830356">
    <w:abstractNumId w:val="22"/>
  </w:num>
  <w:num w:numId="16" w16cid:durableId="1806388951">
    <w:abstractNumId w:val="12"/>
  </w:num>
  <w:num w:numId="17" w16cid:durableId="438063598">
    <w:abstractNumId w:val="18"/>
  </w:num>
  <w:num w:numId="18" w16cid:durableId="2096389663">
    <w:abstractNumId w:val="6"/>
  </w:num>
  <w:num w:numId="19" w16cid:durableId="306976037">
    <w:abstractNumId w:val="24"/>
  </w:num>
  <w:num w:numId="20" w16cid:durableId="55515986">
    <w:abstractNumId w:val="15"/>
  </w:num>
  <w:num w:numId="21" w16cid:durableId="1498956356">
    <w:abstractNumId w:val="23"/>
  </w:num>
  <w:num w:numId="22" w16cid:durableId="1379207513">
    <w:abstractNumId w:val="16"/>
  </w:num>
  <w:num w:numId="23" w16cid:durableId="1797796960">
    <w:abstractNumId w:val="31"/>
  </w:num>
  <w:num w:numId="24" w16cid:durableId="2029024231">
    <w:abstractNumId w:val="10"/>
  </w:num>
  <w:num w:numId="25" w16cid:durableId="570821332">
    <w:abstractNumId w:val="7"/>
  </w:num>
  <w:num w:numId="26" w16cid:durableId="1491866304">
    <w:abstractNumId w:val="30"/>
  </w:num>
  <w:num w:numId="27" w16cid:durableId="509222679">
    <w:abstractNumId w:val="28"/>
  </w:num>
  <w:num w:numId="28" w16cid:durableId="457527818">
    <w:abstractNumId w:val="2"/>
  </w:num>
  <w:num w:numId="29" w16cid:durableId="313490387">
    <w:abstractNumId w:val="5"/>
  </w:num>
  <w:num w:numId="30" w16cid:durableId="734937297">
    <w:abstractNumId w:val="29"/>
  </w:num>
  <w:num w:numId="31" w16cid:durableId="716860589">
    <w:abstractNumId w:val="27"/>
  </w:num>
  <w:num w:numId="32" w16cid:durableId="12202846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7C7"/>
    <w:rsid w:val="000077C7"/>
    <w:rsid w:val="000502DF"/>
    <w:rsid w:val="00091B13"/>
    <w:rsid w:val="001B5097"/>
    <w:rsid w:val="00285722"/>
    <w:rsid w:val="004134F5"/>
    <w:rsid w:val="00516F56"/>
    <w:rsid w:val="00580328"/>
    <w:rsid w:val="005F7AC2"/>
    <w:rsid w:val="0062077E"/>
    <w:rsid w:val="00761D04"/>
    <w:rsid w:val="007E5A71"/>
    <w:rsid w:val="008A6F60"/>
    <w:rsid w:val="00967802"/>
    <w:rsid w:val="00C60FC1"/>
    <w:rsid w:val="00CC3113"/>
    <w:rsid w:val="00F23856"/>
    <w:rsid w:val="00F63421"/>
    <w:rsid w:val="00F86B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B816A"/>
  <w15:chartTrackingRefBased/>
  <w15:docId w15:val="{A2432356-1A33-40EC-9940-5FBC40ACE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077C7"/>
    <w:pPr>
      <w:spacing w:after="200" w:line="276" w:lineRule="auto"/>
    </w:pPr>
    <w:rPr>
      <w:kern w:val="0"/>
      <w14:ligatures w14:val="none"/>
    </w:rPr>
  </w:style>
  <w:style w:type="paragraph" w:styleId="Nagwek1">
    <w:name w:val="heading 1"/>
    <w:basedOn w:val="Normalny"/>
    <w:next w:val="Normalny"/>
    <w:link w:val="Nagwek1Znak"/>
    <w:uiPriority w:val="9"/>
    <w:qFormat/>
    <w:rsid w:val="000077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077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077C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077C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077C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077C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077C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077C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077C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077C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077C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077C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077C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077C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077C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077C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077C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077C7"/>
    <w:rPr>
      <w:rFonts w:eastAsiaTheme="majorEastAsia" w:cstheme="majorBidi"/>
      <w:color w:val="272727" w:themeColor="text1" w:themeTint="D8"/>
    </w:rPr>
  </w:style>
  <w:style w:type="paragraph" w:styleId="Tytu">
    <w:name w:val="Title"/>
    <w:basedOn w:val="Normalny"/>
    <w:next w:val="Normalny"/>
    <w:link w:val="TytuZnak"/>
    <w:uiPriority w:val="10"/>
    <w:qFormat/>
    <w:rsid w:val="00007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077C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077C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077C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077C7"/>
    <w:pPr>
      <w:spacing w:before="160"/>
      <w:jc w:val="center"/>
    </w:pPr>
    <w:rPr>
      <w:i/>
      <w:iCs/>
      <w:color w:val="404040" w:themeColor="text1" w:themeTint="BF"/>
    </w:rPr>
  </w:style>
  <w:style w:type="character" w:customStyle="1" w:styleId="CytatZnak">
    <w:name w:val="Cytat Znak"/>
    <w:basedOn w:val="Domylnaczcionkaakapitu"/>
    <w:link w:val="Cytat"/>
    <w:uiPriority w:val="29"/>
    <w:rsid w:val="000077C7"/>
    <w:rPr>
      <w:i/>
      <w:iCs/>
      <w:color w:val="404040" w:themeColor="text1" w:themeTint="BF"/>
    </w:rPr>
  </w:style>
  <w:style w:type="paragraph" w:styleId="Akapitzlist">
    <w:name w:val="List Paragraph"/>
    <w:basedOn w:val="Normalny"/>
    <w:uiPriority w:val="34"/>
    <w:qFormat/>
    <w:rsid w:val="000077C7"/>
    <w:pPr>
      <w:ind w:left="720"/>
      <w:contextualSpacing/>
    </w:pPr>
  </w:style>
  <w:style w:type="character" w:styleId="Wyrnienieintensywne">
    <w:name w:val="Intense Emphasis"/>
    <w:basedOn w:val="Domylnaczcionkaakapitu"/>
    <w:uiPriority w:val="21"/>
    <w:qFormat/>
    <w:rsid w:val="000077C7"/>
    <w:rPr>
      <w:i/>
      <w:iCs/>
      <w:color w:val="0F4761" w:themeColor="accent1" w:themeShade="BF"/>
    </w:rPr>
  </w:style>
  <w:style w:type="paragraph" w:styleId="Cytatintensywny">
    <w:name w:val="Intense Quote"/>
    <w:basedOn w:val="Normalny"/>
    <w:next w:val="Normalny"/>
    <w:link w:val="CytatintensywnyZnak"/>
    <w:uiPriority w:val="30"/>
    <w:qFormat/>
    <w:rsid w:val="00007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077C7"/>
    <w:rPr>
      <w:i/>
      <w:iCs/>
      <w:color w:val="0F4761" w:themeColor="accent1" w:themeShade="BF"/>
    </w:rPr>
  </w:style>
  <w:style w:type="character" w:styleId="Odwoanieintensywne">
    <w:name w:val="Intense Reference"/>
    <w:basedOn w:val="Domylnaczcionkaakapitu"/>
    <w:uiPriority w:val="32"/>
    <w:qFormat/>
    <w:rsid w:val="000077C7"/>
    <w:rPr>
      <w:b/>
      <w:bCs/>
      <w:smallCaps/>
      <w:color w:val="0F4761" w:themeColor="accent1" w:themeShade="BF"/>
      <w:spacing w:val="5"/>
    </w:rPr>
  </w:style>
  <w:style w:type="character" w:customStyle="1" w:styleId="markedcontent">
    <w:name w:val="markedcontent"/>
    <w:basedOn w:val="Domylnaczcionkaakapitu"/>
    <w:rsid w:val="000077C7"/>
  </w:style>
  <w:style w:type="character" w:styleId="Hipercze">
    <w:name w:val="Hyperlink"/>
    <w:basedOn w:val="Domylnaczcionkaakapitu"/>
    <w:uiPriority w:val="99"/>
    <w:unhideWhenUsed/>
    <w:rsid w:val="00967802"/>
    <w:rPr>
      <w:color w:val="467886" w:themeColor="hyperlink"/>
      <w:u w:val="single"/>
    </w:rPr>
  </w:style>
  <w:style w:type="character" w:styleId="Nierozpoznanawzmianka">
    <w:name w:val="Unresolved Mention"/>
    <w:basedOn w:val="Domylnaczcionkaakapitu"/>
    <w:uiPriority w:val="99"/>
    <w:semiHidden/>
    <w:unhideWhenUsed/>
    <w:rsid w:val="00967802"/>
    <w:rPr>
      <w:color w:val="605E5C"/>
      <w:shd w:val="clear" w:color="auto" w:fill="E1DFDD"/>
    </w:rPr>
  </w:style>
  <w:style w:type="character" w:styleId="UyteHipercze">
    <w:name w:val="FollowedHyperlink"/>
    <w:basedOn w:val="Domylnaczcionkaakapitu"/>
    <w:uiPriority w:val="99"/>
    <w:semiHidden/>
    <w:unhideWhenUsed/>
    <w:rsid w:val="0096780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cja.rcl.gov.pl/projekt/12415250/katalog/13229258#1322925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cja.rcl.gov.pl/projekt/12415200/katalog/13229008#13229008" TargetMode="External"/><Relationship Id="rId12" Type="http://schemas.openxmlformats.org/officeDocument/2006/relationships/hyperlink" Target="https://legislacja.rcl.gov.pl/projekt/12415302/katalog/13229494#132294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cja.rcl.gov.pl/projekt/12415151/katalog/13228817#13228817" TargetMode="External"/><Relationship Id="rId11" Type="http://schemas.openxmlformats.org/officeDocument/2006/relationships/hyperlink" Target="https://legislacja.rcl.gov.pl/projekt/12415301/katalog/13229451#13229451" TargetMode="External"/><Relationship Id="rId5" Type="http://schemas.openxmlformats.org/officeDocument/2006/relationships/image" Target="media/image1.png"/><Relationship Id="rId10" Type="http://schemas.openxmlformats.org/officeDocument/2006/relationships/hyperlink" Target="https://legislacja.rcl.gov.pl/projekt/12415202/katalog/13229109#13229109" TargetMode="External"/><Relationship Id="rId4" Type="http://schemas.openxmlformats.org/officeDocument/2006/relationships/webSettings" Target="webSettings.xml"/><Relationship Id="rId9" Type="http://schemas.openxmlformats.org/officeDocument/2006/relationships/hyperlink" Target="https://legislacja.rcl.gov.pl/projekt/12415251/katalog/13229316#13229316"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29</Pages>
  <Words>12581</Words>
  <Characters>75492</Characters>
  <Application>Microsoft Office Word</Application>
  <DocSecurity>0</DocSecurity>
  <Lines>629</Lines>
  <Paragraphs>175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Kuydowicz</dc:creator>
  <cp:keywords/>
  <dc:description/>
  <cp:lastModifiedBy>Tomasz Kuydowicz</cp:lastModifiedBy>
  <cp:revision>14</cp:revision>
  <dcterms:created xsi:type="dcterms:W3CDTF">2026-10-08T08:08:00Z</dcterms:created>
  <dcterms:modified xsi:type="dcterms:W3CDTF">2026-10-08T09:30:00Z</dcterms:modified>
</cp:coreProperties>
</file>