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759C" w14:textId="77777777" w:rsidR="00C93278" w:rsidRPr="00611E59" w:rsidRDefault="00CA2841" w:rsidP="008B766F">
      <w:pPr>
        <w:spacing w:after="0" w:line="240" w:lineRule="auto"/>
        <w:jc w:val="center"/>
        <w:rPr>
          <w:rFonts w:cstheme="minorHAnsi"/>
          <w:b/>
          <w:bCs/>
        </w:rPr>
      </w:pPr>
      <w:bookmarkStart w:id="0" w:name="_Hlk107398740"/>
      <w:r w:rsidRPr="00611E59">
        <w:rPr>
          <w:rFonts w:cstheme="minorHAnsi"/>
          <w:b/>
          <w:bCs/>
        </w:rPr>
        <w:t xml:space="preserve">Uwagi </w:t>
      </w:r>
    </w:p>
    <w:p w14:paraId="653DA768" w14:textId="13CBA361" w:rsidR="00894E5C" w:rsidRPr="00611E59" w:rsidRDefault="00CA2841" w:rsidP="00894E5C">
      <w:pPr>
        <w:spacing w:after="0" w:line="240" w:lineRule="auto"/>
        <w:jc w:val="center"/>
        <w:rPr>
          <w:rFonts w:cstheme="minorHAnsi"/>
          <w:b/>
          <w:bCs/>
        </w:rPr>
      </w:pPr>
      <w:r w:rsidRPr="00611E59">
        <w:rPr>
          <w:rFonts w:cstheme="minorHAnsi"/>
          <w:b/>
          <w:bCs/>
        </w:rPr>
        <w:t>do projektu</w:t>
      </w:r>
      <w:bookmarkStart w:id="1" w:name="_Hlk163464623"/>
      <w:r w:rsidR="00894E5C" w:rsidRPr="00611E59">
        <w:rPr>
          <w:rFonts w:cstheme="minorHAnsi"/>
          <w:b/>
          <w:bCs/>
        </w:rPr>
        <w:t xml:space="preserve"> ustawy</w:t>
      </w:r>
      <w:r w:rsidR="00094C8A" w:rsidRPr="00611E59">
        <w:rPr>
          <w:rFonts w:eastAsia="Times New Roman" w:cstheme="minorHAnsi"/>
          <w:b/>
          <w:color w:val="000000" w:themeColor="text1"/>
          <w:lang w:eastAsia="pl-PL"/>
        </w:rPr>
        <w:t xml:space="preserve"> o zmianie ustawy – Prawo geologiczne i górnicze oraz ustawy o odpadach</w:t>
      </w:r>
    </w:p>
    <w:bookmarkEnd w:id="1"/>
    <w:p w14:paraId="304455B3" w14:textId="19A1E4C0" w:rsidR="00CA2841" w:rsidRPr="00611E59" w:rsidRDefault="00B91BB7" w:rsidP="008B766F">
      <w:pPr>
        <w:spacing w:after="0" w:line="240" w:lineRule="auto"/>
        <w:jc w:val="center"/>
        <w:rPr>
          <w:rFonts w:cstheme="minorHAnsi"/>
          <w:b/>
          <w:bCs/>
        </w:rPr>
      </w:pPr>
      <w:r w:rsidRPr="00611E59">
        <w:rPr>
          <w:rFonts w:cstheme="minorHAnsi"/>
          <w:b/>
          <w:bCs/>
        </w:rPr>
        <w:t>(</w:t>
      </w:r>
      <w:r w:rsidR="00894E5C" w:rsidRPr="00611E59">
        <w:rPr>
          <w:rFonts w:cstheme="minorHAnsi"/>
          <w:b/>
          <w:bCs/>
        </w:rPr>
        <w:t>nr</w:t>
      </w:r>
      <w:r w:rsidR="00BF3C6E" w:rsidRPr="00611E59">
        <w:rPr>
          <w:rFonts w:cstheme="minorHAnsi"/>
          <w:b/>
          <w:bCs/>
        </w:rPr>
        <w:t xml:space="preserve"> </w:t>
      </w:r>
      <w:r w:rsidR="000113B2" w:rsidRPr="00611E59">
        <w:rPr>
          <w:rFonts w:cstheme="minorHAnsi"/>
          <w:b/>
          <w:bCs/>
        </w:rPr>
        <w:t>UD</w:t>
      </w:r>
      <w:r w:rsidR="00094C8A" w:rsidRPr="00611E59">
        <w:rPr>
          <w:rFonts w:cstheme="minorHAnsi"/>
          <w:b/>
          <w:bCs/>
        </w:rPr>
        <w:t>400</w:t>
      </w:r>
      <w:r w:rsidR="00BF3C6E" w:rsidRPr="00611E59">
        <w:rPr>
          <w:rFonts w:cstheme="minorHAnsi"/>
          <w:b/>
          <w:bCs/>
        </w:rPr>
        <w:t xml:space="preserve"> </w:t>
      </w:r>
      <w:r w:rsidR="00894E5C" w:rsidRPr="00611E59">
        <w:rPr>
          <w:rFonts w:cstheme="minorHAnsi"/>
          <w:b/>
          <w:bCs/>
        </w:rPr>
        <w:t xml:space="preserve"> w Wykazie prac legislacyjnych i programowych Rady Ministrów)</w:t>
      </w:r>
    </w:p>
    <w:p w14:paraId="711D6FEE" w14:textId="77777777" w:rsidR="00CA2841" w:rsidRPr="00611E59" w:rsidRDefault="00CA2841" w:rsidP="008B766F">
      <w:pPr>
        <w:spacing w:after="0" w:line="240" w:lineRule="auto"/>
        <w:rPr>
          <w:rFonts w:cstheme="minorHAnsi"/>
        </w:rPr>
      </w:pPr>
    </w:p>
    <w:tbl>
      <w:tblPr>
        <w:tblStyle w:val="Tabela-Siatka"/>
        <w:tblpPr w:leftFromText="142" w:rightFromText="142" w:vertAnchor="text" w:horzAnchor="margin" w:tblpXSpec="center" w:tblpY="58"/>
        <w:tblW w:w="15740" w:type="dxa"/>
        <w:tblLayout w:type="fixed"/>
        <w:tblLook w:val="04A0" w:firstRow="1" w:lastRow="0" w:firstColumn="1" w:lastColumn="0" w:noHBand="0" w:noVBand="1"/>
      </w:tblPr>
      <w:tblGrid>
        <w:gridCol w:w="562"/>
        <w:gridCol w:w="1701"/>
        <w:gridCol w:w="2694"/>
        <w:gridCol w:w="5103"/>
        <w:gridCol w:w="4252"/>
        <w:gridCol w:w="1428"/>
      </w:tblGrid>
      <w:tr w:rsidR="0090574C" w:rsidRPr="00611E59" w14:paraId="47E9ED08" w14:textId="77777777" w:rsidTr="00B91BB7">
        <w:trPr>
          <w:trHeight w:val="551"/>
          <w:tblHeader/>
        </w:trPr>
        <w:tc>
          <w:tcPr>
            <w:tcW w:w="562" w:type="dxa"/>
          </w:tcPr>
          <w:p w14:paraId="115BF413" w14:textId="6257DDCF" w:rsidR="0090574C" w:rsidRPr="00611E59" w:rsidRDefault="0090574C" w:rsidP="008B766F">
            <w:pPr>
              <w:jc w:val="center"/>
              <w:rPr>
                <w:rFonts w:cstheme="minorHAnsi"/>
                <w:b/>
                <w:bCs/>
              </w:rPr>
            </w:pPr>
            <w:r w:rsidRPr="00611E59">
              <w:rPr>
                <w:rFonts w:cstheme="minorHAnsi"/>
                <w:b/>
                <w:bCs/>
              </w:rPr>
              <w:t>Lp.</w:t>
            </w:r>
          </w:p>
        </w:tc>
        <w:tc>
          <w:tcPr>
            <w:tcW w:w="1701" w:type="dxa"/>
          </w:tcPr>
          <w:p w14:paraId="0FAF4510" w14:textId="4FD6EB74" w:rsidR="0090574C" w:rsidRPr="00611E59" w:rsidRDefault="0090574C" w:rsidP="008B766F">
            <w:pPr>
              <w:jc w:val="center"/>
              <w:rPr>
                <w:rFonts w:cstheme="minorHAnsi"/>
                <w:b/>
                <w:bCs/>
              </w:rPr>
            </w:pPr>
            <w:r w:rsidRPr="00611E59">
              <w:rPr>
                <w:rFonts w:cstheme="minorHAnsi"/>
                <w:b/>
                <w:bCs/>
              </w:rPr>
              <w:t>Podmiot wnoszący uwag</w:t>
            </w:r>
            <w:r w:rsidR="00B91BB7" w:rsidRPr="00611E59">
              <w:rPr>
                <w:rFonts w:cstheme="minorHAnsi"/>
                <w:b/>
                <w:bCs/>
              </w:rPr>
              <w:t>ę</w:t>
            </w:r>
          </w:p>
        </w:tc>
        <w:tc>
          <w:tcPr>
            <w:tcW w:w="2694" w:type="dxa"/>
          </w:tcPr>
          <w:p w14:paraId="51F92737" w14:textId="48E4A866" w:rsidR="0090574C" w:rsidRPr="00611E59" w:rsidRDefault="0090574C" w:rsidP="008B766F">
            <w:pPr>
              <w:jc w:val="center"/>
              <w:rPr>
                <w:rFonts w:cstheme="minorHAnsi"/>
                <w:b/>
                <w:bCs/>
              </w:rPr>
            </w:pPr>
            <w:r w:rsidRPr="00611E59">
              <w:rPr>
                <w:rFonts w:cstheme="minorHAnsi"/>
                <w:b/>
                <w:bCs/>
              </w:rPr>
              <w:t>Jednostka redakcyjna, do której wnoszon</w:t>
            </w:r>
            <w:r w:rsidR="00B91BB7" w:rsidRPr="00611E59">
              <w:rPr>
                <w:rFonts w:cstheme="minorHAnsi"/>
                <w:b/>
                <w:bCs/>
              </w:rPr>
              <w:t>a jest</w:t>
            </w:r>
            <w:r w:rsidRPr="00611E59">
              <w:rPr>
                <w:rFonts w:cstheme="minorHAnsi"/>
                <w:b/>
                <w:bCs/>
              </w:rPr>
              <w:t xml:space="preserve"> uwag</w:t>
            </w:r>
            <w:r w:rsidR="00B91BB7" w:rsidRPr="00611E59">
              <w:rPr>
                <w:rFonts w:cstheme="minorHAnsi"/>
                <w:b/>
                <w:bCs/>
              </w:rPr>
              <w:t>a</w:t>
            </w:r>
            <w:r w:rsidR="004F2D1D" w:rsidRPr="00611E59">
              <w:rPr>
                <w:rStyle w:val="Odwoanieprzypisudolnego"/>
                <w:rFonts w:cstheme="minorHAnsi"/>
                <w:b/>
                <w:bCs/>
              </w:rPr>
              <w:footnoteReference w:customMarkFollows="1" w:id="1"/>
              <w:t>1)</w:t>
            </w:r>
          </w:p>
        </w:tc>
        <w:tc>
          <w:tcPr>
            <w:tcW w:w="5103" w:type="dxa"/>
          </w:tcPr>
          <w:p w14:paraId="74AACE5A" w14:textId="0BDDBBD7" w:rsidR="0090574C" w:rsidRPr="00611E59" w:rsidRDefault="0090574C" w:rsidP="008B766F">
            <w:pPr>
              <w:jc w:val="center"/>
              <w:rPr>
                <w:rFonts w:cstheme="minorHAnsi"/>
                <w:b/>
                <w:bCs/>
              </w:rPr>
            </w:pPr>
            <w:r w:rsidRPr="00611E59">
              <w:rPr>
                <w:rFonts w:cstheme="minorHAnsi"/>
                <w:b/>
                <w:bCs/>
              </w:rPr>
              <w:t>Treść uwagi</w:t>
            </w:r>
          </w:p>
        </w:tc>
        <w:tc>
          <w:tcPr>
            <w:tcW w:w="4252" w:type="dxa"/>
          </w:tcPr>
          <w:p w14:paraId="7C9E6D74" w14:textId="597CDAA9" w:rsidR="0090574C" w:rsidRPr="00611E59" w:rsidRDefault="0090574C" w:rsidP="008B766F">
            <w:pPr>
              <w:jc w:val="center"/>
              <w:rPr>
                <w:rFonts w:cstheme="minorHAnsi"/>
                <w:b/>
                <w:bCs/>
              </w:rPr>
            </w:pPr>
            <w:r w:rsidRPr="00611E59">
              <w:rPr>
                <w:rFonts w:cstheme="minorHAnsi"/>
                <w:b/>
                <w:bCs/>
              </w:rPr>
              <w:t xml:space="preserve">Propozycja </w:t>
            </w:r>
            <w:r w:rsidR="00773DAD" w:rsidRPr="00611E59">
              <w:rPr>
                <w:rFonts w:cstheme="minorHAnsi"/>
                <w:b/>
                <w:bCs/>
              </w:rPr>
              <w:t>brzmienia</w:t>
            </w:r>
            <w:r w:rsidR="00C93278" w:rsidRPr="00611E59">
              <w:rPr>
                <w:rFonts w:cstheme="minorHAnsi"/>
                <w:b/>
                <w:bCs/>
              </w:rPr>
              <w:t xml:space="preserve"> przepisu</w:t>
            </w:r>
          </w:p>
        </w:tc>
        <w:tc>
          <w:tcPr>
            <w:tcW w:w="1428" w:type="dxa"/>
          </w:tcPr>
          <w:p w14:paraId="2C049C38" w14:textId="382C7B91" w:rsidR="0090574C" w:rsidRPr="00611E59" w:rsidRDefault="0090574C" w:rsidP="008B766F">
            <w:pPr>
              <w:jc w:val="center"/>
              <w:rPr>
                <w:rFonts w:cstheme="minorHAnsi"/>
                <w:b/>
                <w:bCs/>
              </w:rPr>
            </w:pPr>
            <w:r w:rsidRPr="00611E59">
              <w:rPr>
                <w:rFonts w:cstheme="minorHAnsi"/>
                <w:b/>
                <w:bCs/>
              </w:rPr>
              <w:t>Stanowisko do uwagi</w:t>
            </w:r>
          </w:p>
        </w:tc>
      </w:tr>
      <w:tr w:rsidR="004A4D2E" w:rsidRPr="00611E59" w14:paraId="3506C2D2" w14:textId="77777777" w:rsidTr="009B5AD6">
        <w:tc>
          <w:tcPr>
            <w:tcW w:w="562" w:type="dxa"/>
          </w:tcPr>
          <w:p w14:paraId="6A0FDAD7" w14:textId="6F8344CD" w:rsidR="004A4D2E" w:rsidRPr="00611E59" w:rsidRDefault="004A4D2E" w:rsidP="008B766F">
            <w:pPr>
              <w:jc w:val="center"/>
              <w:rPr>
                <w:rFonts w:cstheme="minorHAnsi"/>
              </w:rPr>
            </w:pPr>
            <w:r w:rsidRPr="00611E59">
              <w:rPr>
                <w:rFonts w:cstheme="minorHAnsi"/>
              </w:rPr>
              <w:t>1.</w:t>
            </w:r>
          </w:p>
        </w:tc>
        <w:tc>
          <w:tcPr>
            <w:tcW w:w="1701" w:type="dxa"/>
          </w:tcPr>
          <w:p w14:paraId="7D4B6C54" w14:textId="7A3BA5E4" w:rsidR="004A4D2E" w:rsidRPr="00611E59" w:rsidRDefault="0089573E" w:rsidP="008B766F">
            <w:pPr>
              <w:jc w:val="both"/>
              <w:rPr>
                <w:rFonts w:cstheme="minorHAnsi"/>
              </w:rPr>
            </w:pPr>
            <w:r>
              <w:rPr>
                <w:rFonts w:cstheme="minorHAnsi"/>
              </w:rPr>
              <w:t>Związek Pracodawców Polska Miedź</w:t>
            </w:r>
          </w:p>
        </w:tc>
        <w:tc>
          <w:tcPr>
            <w:tcW w:w="2694" w:type="dxa"/>
          </w:tcPr>
          <w:p w14:paraId="5187C6E1" w14:textId="258C053A" w:rsidR="004A4D2E" w:rsidRPr="00611E59" w:rsidRDefault="00167C43" w:rsidP="00167C43">
            <w:pPr>
              <w:jc w:val="both"/>
              <w:rPr>
                <w:rFonts w:cstheme="minorHAnsi"/>
              </w:rPr>
            </w:pPr>
            <w:r w:rsidRPr="00611E59">
              <w:rPr>
                <w:rFonts w:cstheme="minorHAnsi"/>
              </w:rPr>
              <w:t>Art. 1 pkt 1 lit. b projektu – projektowany art. 125 ust. 4a pkt 3</w:t>
            </w:r>
          </w:p>
        </w:tc>
        <w:tc>
          <w:tcPr>
            <w:tcW w:w="5103" w:type="dxa"/>
          </w:tcPr>
          <w:p w14:paraId="5875B860" w14:textId="77777777" w:rsidR="00167C43" w:rsidRPr="00611E59" w:rsidRDefault="00167C43" w:rsidP="00167C43">
            <w:pPr>
              <w:jc w:val="both"/>
              <w:rPr>
                <w:rFonts w:cstheme="minorHAnsi"/>
              </w:rPr>
            </w:pPr>
            <w:r w:rsidRPr="00611E59">
              <w:rPr>
                <w:rFonts w:cstheme="minorHAnsi"/>
              </w:rPr>
              <w:t xml:space="preserve">Dotychczas rozporządzenie wiąże początek fazy poeksploatacyjnej z decyzją o wygaśnięciu lub cofnięciu koncesji. Projekt przesuwa go na zakończenie likwidacji zakładu górniczego. </w:t>
            </w:r>
          </w:p>
          <w:p w14:paraId="372F1803" w14:textId="77777777" w:rsidR="00167C43" w:rsidRPr="00611E59" w:rsidRDefault="00167C43" w:rsidP="00167C43">
            <w:pPr>
              <w:jc w:val="both"/>
              <w:rPr>
                <w:rFonts w:cstheme="minorHAnsi"/>
              </w:rPr>
            </w:pPr>
            <w:r w:rsidRPr="00611E59">
              <w:rPr>
                <w:rFonts w:cstheme="minorHAnsi"/>
              </w:rPr>
              <w:t>Dla przedsiębiorcy oznacza to możliwość znacznego wydłużenia łącznego okresu ponoszenia kosztów. Jeżeli likwidacja trwa np. 12 lat, dopiero po niej rozpocznie się minimum 30 lat monitoringu poeksploatacyjnego. Ponadto zamknięcie składowiska albo jego części nie musi pokrywać się z likwidacją całego zakładu.</w:t>
            </w:r>
          </w:p>
          <w:p w14:paraId="52F33CF1" w14:textId="77777777" w:rsidR="00167C43" w:rsidRPr="00611E59" w:rsidRDefault="00167C43" w:rsidP="00167C43">
            <w:pPr>
              <w:jc w:val="both"/>
              <w:rPr>
                <w:rFonts w:cstheme="minorHAnsi"/>
              </w:rPr>
            </w:pPr>
          </w:p>
          <w:p w14:paraId="38E23FC2" w14:textId="33A37C57" w:rsidR="00554A26" w:rsidRPr="00611E59" w:rsidRDefault="00167C43" w:rsidP="00554A26">
            <w:pPr>
              <w:jc w:val="both"/>
              <w:rPr>
                <w:rFonts w:cstheme="minorHAnsi"/>
              </w:rPr>
            </w:pPr>
            <w:r w:rsidRPr="00167C43">
              <w:rPr>
                <w:rFonts w:cstheme="minorHAnsi"/>
              </w:rPr>
              <w:t xml:space="preserve">Rekomendowałabym powrót do liczenia okresu </w:t>
            </w:r>
            <w:r w:rsidR="004A6C9E" w:rsidRPr="00611E59">
              <w:rPr>
                <w:rFonts w:cstheme="minorHAnsi"/>
              </w:rPr>
              <w:t xml:space="preserve">monitoringu </w:t>
            </w:r>
            <w:r w:rsidRPr="00167C43">
              <w:rPr>
                <w:rFonts w:cstheme="minorHAnsi"/>
              </w:rPr>
              <w:t xml:space="preserve">od dnia cofnięcia albo wygaśnięcia koncesji. </w:t>
            </w:r>
            <w:r w:rsidR="004A6C9E" w:rsidRPr="00611E59">
              <w:rPr>
                <w:rFonts w:cstheme="minorHAnsi"/>
              </w:rPr>
              <w:t>R</w:t>
            </w:r>
            <w:r w:rsidR="00554A26" w:rsidRPr="00554A26">
              <w:rPr>
                <w:rFonts w:cstheme="minorHAnsi"/>
              </w:rPr>
              <w:t>ozwiązanie wykorzystuje istniejące i jednoznaczne zdarzenie prawne, nie wymaga tworzenia nowej procedury oraz zapobiega przesuwaniu początku 30-letniego okresu do nieokreślonego momentu zakończenia wszystkich czynności likwidacyjnych.</w:t>
            </w:r>
          </w:p>
          <w:p w14:paraId="49A74FBB" w14:textId="77777777" w:rsidR="00167C43" w:rsidRPr="00554A26" w:rsidRDefault="00167C43" w:rsidP="00554A26">
            <w:pPr>
              <w:jc w:val="both"/>
              <w:rPr>
                <w:rFonts w:cstheme="minorHAnsi"/>
              </w:rPr>
            </w:pPr>
          </w:p>
          <w:p w14:paraId="60E58306" w14:textId="77777777" w:rsidR="004A4D2E" w:rsidRPr="00611E59" w:rsidRDefault="004A4D2E" w:rsidP="008B766F">
            <w:pPr>
              <w:jc w:val="both"/>
              <w:rPr>
                <w:rFonts w:cstheme="minorHAnsi"/>
              </w:rPr>
            </w:pPr>
          </w:p>
        </w:tc>
        <w:tc>
          <w:tcPr>
            <w:tcW w:w="4252" w:type="dxa"/>
          </w:tcPr>
          <w:p w14:paraId="1514E971" w14:textId="0082D0A7" w:rsidR="004A4D2E" w:rsidRPr="00611E59" w:rsidRDefault="004A4D2E" w:rsidP="004A4D2E">
            <w:pPr>
              <w:jc w:val="both"/>
              <w:rPr>
                <w:rFonts w:cstheme="minorHAnsi"/>
              </w:rPr>
            </w:pPr>
          </w:p>
          <w:p w14:paraId="6FBFD9E6" w14:textId="77777777" w:rsidR="00167C43" w:rsidRPr="00167C43" w:rsidRDefault="00167C43" w:rsidP="00167C43">
            <w:pPr>
              <w:jc w:val="both"/>
              <w:rPr>
                <w:rFonts w:cstheme="minorHAnsi"/>
              </w:rPr>
            </w:pPr>
            <w:r w:rsidRPr="00167C43">
              <w:rPr>
                <w:rFonts w:cstheme="minorHAnsi"/>
              </w:rPr>
              <w:t>„3) poeksploatacyjnej, rozpoczynającej się z dniem cofnięcia albo wygaśnięcia koncesji na podziemne składowanie odpadów i trwającej przez okres 30 lat.”</w:t>
            </w:r>
          </w:p>
          <w:p w14:paraId="5E4C4B1F" w14:textId="77777777" w:rsidR="004A4D2E" w:rsidRPr="00611E59" w:rsidRDefault="004A4D2E" w:rsidP="004A4D2E">
            <w:pPr>
              <w:jc w:val="both"/>
              <w:rPr>
                <w:rFonts w:cstheme="minorHAnsi"/>
              </w:rPr>
            </w:pPr>
          </w:p>
          <w:p w14:paraId="5FE05C7D" w14:textId="08BADE37" w:rsidR="004A4D2E" w:rsidRPr="00611E59" w:rsidRDefault="004A4D2E" w:rsidP="004A4D2E">
            <w:pPr>
              <w:jc w:val="both"/>
              <w:rPr>
                <w:rFonts w:cstheme="minorHAnsi"/>
              </w:rPr>
            </w:pPr>
          </w:p>
        </w:tc>
        <w:tc>
          <w:tcPr>
            <w:tcW w:w="1428" w:type="dxa"/>
          </w:tcPr>
          <w:p w14:paraId="3D49030C" w14:textId="77777777" w:rsidR="004A4D2E" w:rsidRPr="00611E59" w:rsidRDefault="004A4D2E" w:rsidP="008B766F">
            <w:pPr>
              <w:jc w:val="both"/>
              <w:rPr>
                <w:rFonts w:cstheme="minorHAnsi"/>
              </w:rPr>
            </w:pPr>
          </w:p>
        </w:tc>
      </w:tr>
      <w:tr w:rsidR="0090574C" w:rsidRPr="00611E59" w14:paraId="27D19DF6" w14:textId="77777777" w:rsidTr="009B5AD6">
        <w:tc>
          <w:tcPr>
            <w:tcW w:w="562" w:type="dxa"/>
          </w:tcPr>
          <w:p w14:paraId="743719D4" w14:textId="46061161" w:rsidR="0090574C" w:rsidRPr="00611E59" w:rsidRDefault="004A6C9E" w:rsidP="008B766F">
            <w:pPr>
              <w:jc w:val="center"/>
              <w:rPr>
                <w:rFonts w:cstheme="minorHAnsi"/>
              </w:rPr>
            </w:pPr>
            <w:r w:rsidRPr="00611E59">
              <w:rPr>
                <w:rFonts w:cstheme="minorHAnsi"/>
              </w:rPr>
              <w:t>2</w:t>
            </w:r>
          </w:p>
        </w:tc>
        <w:tc>
          <w:tcPr>
            <w:tcW w:w="1701" w:type="dxa"/>
          </w:tcPr>
          <w:p w14:paraId="00E6D6A0" w14:textId="57BAF6B0" w:rsidR="0090574C" w:rsidRPr="00611E59" w:rsidRDefault="0089573E" w:rsidP="008B766F">
            <w:pPr>
              <w:jc w:val="both"/>
              <w:rPr>
                <w:rFonts w:cstheme="minorHAnsi"/>
              </w:rPr>
            </w:pPr>
            <w:r w:rsidRPr="0089573E">
              <w:rPr>
                <w:rFonts w:cstheme="minorHAnsi"/>
              </w:rPr>
              <w:t>Związek Pracodawców Polska Miedź</w:t>
            </w:r>
          </w:p>
        </w:tc>
        <w:tc>
          <w:tcPr>
            <w:tcW w:w="2694" w:type="dxa"/>
          </w:tcPr>
          <w:p w14:paraId="32C46E4D" w14:textId="308EF86D" w:rsidR="0090574C" w:rsidRPr="00611E59" w:rsidRDefault="0090574C" w:rsidP="008B766F">
            <w:pPr>
              <w:jc w:val="both"/>
              <w:rPr>
                <w:rFonts w:cstheme="minorHAnsi"/>
              </w:rPr>
            </w:pPr>
            <w:r w:rsidRPr="00611E59">
              <w:rPr>
                <w:rFonts w:cstheme="minorHAnsi"/>
              </w:rPr>
              <w:t>Art. 1 pkt 1 lit. b projektu – projektowany art. 125 ust. 4b ustawy – Prawo geologiczne i górnicze</w:t>
            </w:r>
          </w:p>
        </w:tc>
        <w:tc>
          <w:tcPr>
            <w:tcW w:w="5103" w:type="dxa"/>
          </w:tcPr>
          <w:p w14:paraId="7C517F2D" w14:textId="40427F1A" w:rsidR="008761D7" w:rsidRPr="00611E59" w:rsidRDefault="008761D7" w:rsidP="008761D7">
            <w:pPr>
              <w:jc w:val="both"/>
              <w:rPr>
                <w:rFonts w:cstheme="minorHAnsi"/>
              </w:rPr>
            </w:pPr>
            <w:r w:rsidRPr="00611E59">
              <w:rPr>
                <w:rFonts w:cstheme="minorHAnsi"/>
              </w:rPr>
              <w:t xml:space="preserve">Projekt przewiduje prowadzenie monitoringu w fazie poeksploatacyjnej przez 30 lat od dnia likwidacji podziemnego składowiska odpadów, a w przypadku stwierdzenia migracji substancji niebezpiecznych – dalsze prowadzenie monitoringu aż do upływu 10 lat od stwierdzenia ustania negatywnego oddziaływania. Mechanizm ten może prowadzić do faktycznie bezterminowego obowiązku monitoringu, bez </w:t>
            </w:r>
            <w:r w:rsidRPr="00611E59">
              <w:rPr>
                <w:rFonts w:cstheme="minorHAnsi"/>
              </w:rPr>
              <w:lastRenderedPageBreak/>
              <w:t>określenia okresów przeglądowych, kryteriów istotności migracji, związku migracji ze składowanymi odpadami oraz zasad ograniczenia zakresu monitoringu po wykazaniu stabilności obiektu. Powoduje to niekwantyfikowalne koszty, utrudnia określenie zabezpieczenia finansowego i definitywne zakończenie projektu.</w:t>
            </w:r>
            <w:r w:rsidR="00167C43" w:rsidRPr="00611E59">
              <w:rPr>
                <w:rFonts w:cstheme="minorHAnsi"/>
              </w:rPr>
              <w:t xml:space="preserve"> D</w:t>
            </w:r>
            <w:r w:rsidRPr="00611E59">
              <w:rPr>
                <w:rFonts w:cstheme="minorHAnsi"/>
              </w:rPr>
              <w:t>alszy monitoring powinien być nakładany decyzją organu, na czas oznaczony, na podstawie oceny ryzyka i wyników monitoringu.</w:t>
            </w:r>
          </w:p>
          <w:p w14:paraId="473A40F5" w14:textId="22F1FA05" w:rsidR="008761D7" w:rsidRPr="00611E59" w:rsidRDefault="008761D7" w:rsidP="003F7292">
            <w:pPr>
              <w:jc w:val="both"/>
              <w:rPr>
                <w:rFonts w:cstheme="minorHAnsi"/>
              </w:rPr>
            </w:pPr>
          </w:p>
        </w:tc>
        <w:tc>
          <w:tcPr>
            <w:tcW w:w="4252" w:type="dxa"/>
          </w:tcPr>
          <w:p w14:paraId="72530CAA" w14:textId="3332FC4E" w:rsidR="0090574C" w:rsidRPr="00611E59" w:rsidRDefault="0090574C" w:rsidP="008B766F">
            <w:pPr>
              <w:jc w:val="both"/>
              <w:rPr>
                <w:rFonts w:cstheme="minorHAnsi"/>
              </w:rPr>
            </w:pPr>
            <w:r w:rsidRPr="00611E59">
              <w:rPr>
                <w:rFonts w:cstheme="minorHAnsi"/>
              </w:rPr>
              <w:lastRenderedPageBreak/>
              <w:t>W art. 125 ust. 4b nadać brzmienie:</w:t>
            </w:r>
            <w:r w:rsidRPr="00611E59">
              <w:rPr>
                <w:rFonts w:cstheme="minorHAnsi"/>
              </w:rPr>
              <w:br/>
              <w:t xml:space="preserve">„4b. Organ nadzoru górniczego może, w drodze decyzji, wydłużyć okres prowadzenia monitoringu w fazie poeksploatacyjnej, jeżeli na podstawie wyników monitoringu i oceny ryzyka stwierdzono istotną migrację substancji niebezpiecznych pochodzących ze składowanych odpadów poza granice </w:t>
            </w:r>
            <w:r w:rsidRPr="00611E59">
              <w:rPr>
                <w:rFonts w:cstheme="minorHAnsi"/>
              </w:rPr>
              <w:lastRenderedPageBreak/>
              <w:t>przestrzeni objętej przewidywanymi szkodliwymi wpływami składowanych odpadów. Decyzja określa zakres, częstotliwość i okres dalszego monitoringu, nie dłuższy jednorazowo niż 5 lat. Najpóźniej na 6 miesięcy przed upływem tego okresu organ dokonuje ponownej oceny zasadności monitoringu.</w:t>
            </w:r>
            <w:r w:rsidR="004A6C9E" w:rsidRPr="00611E59">
              <w:rPr>
                <w:rFonts w:eastAsia="Times New Roman" w:cstheme="minorHAnsi"/>
                <w:lang w:eastAsia="pl-PL"/>
              </w:rPr>
              <w:t xml:space="preserve"> Ł</w:t>
            </w:r>
            <w:r w:rsidR="004A6C9E" w:rsidRPr="00611E59">
              <w:rPr>
                <w:rFonts w:cstheme="minorHAnsi"/>
              </w:rPr>
              <w:t>ączny okres przedłużenia monitoringu nie może przekroczyć 10 lat.</w:t>
            </w:r>
            <w:r w:rsidRPr="00611E59">
              <w:rPr>
                <w:rFonts w:cstheme="minorHAnsi"/>
              </w:rPr>
              <w:t>”</w:t>
            </w:r>
          </w:p>
        </w:tc>
        <w:tc>
          <w:tcPr>
            <w:tcW w:w="1428" w:type="dxa"/>
          </w:tcPr>
          <w:p w14:paraId="330A28F2" w14:textId="77777777" w:rsidR="0090574C" w:rsidRPr="00611E59" w:rsidRDefault="0090574C" w:rsidP="008B766F">
            <w:pPr>
              <w:jc w:val="both"/>
              <w:rPr>
                <w:rFonts w:cstheme="minorHAnsi"/>
              </w:rPr>
            </w:pPr>
          </w:p>
        </w:tc>
      </w:tr>
      <w:tr w:rsidR="00B91BB7" w:rsidRPr="00611E59" w14:paraId="50E6FC26" w14:textId="77777777" w:rsidTr="009B5AD6">
        <w:tc>
          <w:tcPr>
            <w:tcW w:w="562" w:type="dxa"/>
          </w:tcPr>
          <w:p w14:paraId="72CBEA22" w14:textId="05DF05D2" w:rsidR="00B91BB7" w:rsidRPr="00611E59" w:rsidRDefault="00240C97" w:rsidP="008B766F">
            <w:pPr>
              <w:jc w:val="center"/>
              <w:rPr>
                <w:rFonts w:cstheme="minorHAnsi"/>
              </w:rPr>
            </w:pPr>
            <w:r>
              <w:rPr>
                <w:rFonts w:cstheme="minorHAnsi"/>
              </w:rPr>
              <w:t>3</w:t>
            </w:r>
          </w:p>
        </w:tc>
        <w:tc>
          <w:tcPr>
            <w:tcW w:w="1701" w:type="dxa"/>
          </w:tcPr>
          <w:p w14:paraId="13E20248" w14:textId="49BB5743" w:rsidR="00B91BB7" w:rsidRPr="00611E59" w:rsidRDefault="0089573E" w:rsidP="008B766F">
            <w:pPr>
              <w:jc w:val="both"/>
              <w:rPr>
                <w:rFonts w:cstheme="minorHAnsi"/>
              </w:rPr>
            </w:pPr>
            <w:r w:rsidRPr="0089573E">
              <w:rPr>
                <w:rFonts w:cstheme="minorHAnsi"/>
              </w:rPr>
              <w:t>Związek Pracodawców Polska Miedź</w:t>
            </w:r>
          </w:p>
        </w:tc>
        <w:tc>
          <w:tcPr>
            <w:tcW w:w="2694" w:type="dxa"/>
          </w:tcPr>
          <w:p w14:paraId="607E353C" w14:textId="77777777" w:rsidR="00B91BB7" w:rsidRPr="00611E59" w:rsidRDefault="00B91BB7" w:rsidP="008B766F">
            <w:pPr>
              <w:jc w:val="both"/>
              <w:rPr>
                <w:rFonts w:cstheme="minorHAnsi"/>
              </w:rPr>
            </w:pPr>
            <w:r w:rsidRPr="00611E59">
              <w:rPr>
                <w:rFonts w:cstheme="minorHAnsi"/>
              </w:rPr>
              <w:t>Proponowany dodatkowy przepis projektu – zmiana ustawy z dnia 3 lutego 1995 r. o ochronie gruntów rolnych i leśnych</w:t>
            </w:r>
          </w:p>
        </w:tc>
        <w:tc>
          <w:tcPr>
            <w:tcW w:w="5103" w:type="dxa"/>
          </w:tcPr>
          <w:p w14:paraId="64CD17A9" w14:textId="77777777" w:rsidR="00B91BB7" w:rsidRPr="00611E59" w:rsidRDefault="00B91BB7" w:rsidP="008B766F">
            <w:pPr>
              <w:jc w:val="both"/>
              <w:rPr>
                <w:rFonts w:cstheme="minorHAnsi"/>
              </w:rPr>
            </w:pPr>
            <w:r w:rsidRPr="00611E59">
              <w:rPr>
                <w:rFonts w:cstheme="minorHAnsi"/>
              </w:rPr>
              <w:t>W celu usprawnienia realizacji projektów dotyczących surowców krytycznych oraz infrastruktury pozostającej z nimi w bezpośrednim związku funkcjonalnym zasadne jest wyłączenie obowiązku uzyskania zgody na zmianę przeznaczenia gruntów na cele nierolnicze i nieleśne oraz decyzji o wyłączeniu gruntów z produkcji, a także zwolnienie z należności i opłat. Rozwiązanie powinno obejmować nie tylko zasadniczą część projektu, lecz również infrastrukturę dostępową, techniczną, energetyczną, transportową, wodną, retencyjną, monitoringową i odpadową niezbędną do jego realizacji.</w:t>
            </w:r>
          </w:p>
        </w:tc>
        <w:tc>
          <w:tcPr>
            <w:tcW w:w="4252" w:type="dxa"/>
          </w:tcPr>
          <w:p w14:paraId="2B119892" w14:textId="77777777" w:rsidR="00B91BB7" w:rsidRPr="00611E59" w:rsidRDefault="00B91BB7" w:rsidP="008B766F">
            <w:pPr>
              <w:jc w:val="both"/>
              <w:rPr>
                <w:rFonts w:cstheme="minorHAnsi"/>
              </w:rPr>
            </w:pPr>
            <w:r w:rsidRPr="00611E59">
              <w:rPr>
                <w:rFonts w:cstheme="minorHAnsi"/>
              </w:rPr>
              <w:t>W ustawie z dnia 3 lutego 1995 r. o ochronie gruntów rolnych i leśnych:</w:t>
            </w:r>
            <w:r w:rsidRPr="00611E59">
              <w:rPr>
                <w:rFonts w:cstheme="minorHAnsi"/>
              </w:rPr>
              <w:br/>
              <w:t>a) po art. 8 dodać art. 8a:</w:t>
            </w:r>
            <w:r w:rsidRPr="00611E59">
              <w:rPr>
                <w:rFonts w:cstheme="minorHAnsi"/>
              </w:rPr>
              <w:br/>
              <w:t>„Art. 8a. 1. Przepisów art. 7 nie stosuje się do wyłączenia gruntów z produkcji w zakresie niezbędnym do realizacji projektu dotyczącego surowców krytycznych w rozumieniu rozporządzenia Parlamentu Europejskiego i Rady (UE) 2024/1252 z dnia 11 kwietnia 2024 r. oraz inwestycji niezbędnej do realizacji takiego projektu.</w:t>
            </w:r>
            <w:r w:rsidRPr="00611E59">
              <w:rPr>
                <w:rFonts w:cstheme="minorHAnsi"/>
              </w:rPr>
              <w:br/>
              <w:t>2. Przez inwestycję niezbędną do realizacji projektu dotyczącego surowców krytycznych rozumie się inwestycję pozostającą w bezpośrednim funkcjonalnym związku z tym projektem, konieczną do jego przygotowania, realizacji, uruchomienia, prowadzenia lub zakończenia, w szczególności w zakresie dostępu do terenu, infrastruktury technicznej, energetycznej, transportowej, wodnej, kanalizacyjnej, odwodnienia, retencji, monitoringu, zabezpieczenia terenu oraz gospodarki odpadami, w tym odpadami wydobywczymi.”</w:t>
            </w:r>
            <w:r w:rsidRPr="00611E59">
              <w:rPr>
                <w:rFonts w:cstheme="minorHAnsi"/>
              </w:rPr>
              <w:br/>
              <w:t>b) po art. 12b dodać art. 12c:</w:t>
            </w:r>
            <w:r w:rsidRPr="00611E59">
              <w:rPr>
                <w:rFonts w:cstheme="minorHAnsi"/>
              </w:rPr>
              <w:br/>
            </w:r>
            <w:r w:rsidRPr="00611E59">
              <w:rPr>
                <w:rFonts w:cstheme="minorHAnsi"/>
              </w:rPr>
              <w:lastRenderedPageBreak/>
              <w:t>„Art. 12c. 1. Wyłączenie z produkcji użytków rolnych oraz gruntów leśnych na potrzeby realizacji projektu dotyczącego surowców krytycznych w rozumieniu rozporządzenia (UE) 2024/1252 oraz inwestycji niezbędnej do realizacji takiego projektu nie wymaga uzyskania decyzji, o której mowa w art. 11 ust. 1.</w:t>
            </w:r>
            <w:r w:rsidRPr="00611E59">
              <w:rPr>
                <w:rFonts w:cstheme="minorHAnsi"/>
              </w:rPr>
              <w:br/>
              <w:t>2. W przypadku, o którym mowa w ust. 1, obowiązek uiszczenia należności i opłat rocznych oraz jednorazowego odszkodowania, o których mowa w art. 12 ust. 1, nie powstaje.</w:t>
            </w:r>
            <w:r w:rsidRPr="00611E59">
              <w:rPr>
                <w:rFonts w:cstheme="minorHAnsi"/>
              </w:rPr>
              <w:br/>
              <w:t>3. Przez inwestycję niezbędną do realizacji projektu rozumie się inwestycję, o której mowa w art. 8a ust. 2.”</w:t>
            </w:r>
          </w:p>
        </w:tc>
        <w:tc>
          <w:tcPr>
            <w:tcW w:w="1428" w:type="dxa"/>
          </w:tcPr>
          <w:p w14:paraId="5D16DB46" w14:textId="77777777" w:rsidR="00B91BB7" w:rsidRPr="00611E59" w:rsidRDefault="00B91BB7" w:rsidP="008B766F">
            <w:pPr>
              <w:jc w:val="both"/>
              <w:rPr>
                <w:rFonts w:cstheme="minorHAnsi"/>
              </w:rPr>
            </w:pPr>
          </w:p>
        </w:tc>
      </w:tr>
      <w:tr w:rsidR="00B91BB7" w:rsidRPr="00611E59" w14:paraId="0B5199B1" w14:textId="77777777" w:rsidTr="009B5AD6">
        <w:tc>
          <w:tcPr>
            <w:tcW w:w="562" w:type="dxa"/>
          </w:tcPr>
          <w:p w14:paraId="486410FA" w14:textId="08ED5FA7" w:rsidR="00B91BB7" w:rsidRPr="00611E59" w:rsidRDefault="00240C97" w:rsidP="008B766F">
            <w:pPr>
              <w:jc w:val="center"/>
              <w:rPr>
                <w:rFonts w:cstheme="minorHAnsi"/>
              </w:rPr>
            </w:pPr>
            <w:r>
              <w:rPr>
                <w:rFonts w:cstheme="minorHAnsi"/>
              </w:rPr>
              <w:t>4</w:t>
            </w:r>
          </w:p>
        </w:tc>
        <w:tc>
          <w:tcPr>
            <w:tcW w:w="1701" w:type="dxa"/>
          </w:tcPr>
          <w:p w14:paraId="41EC1220" w14:textId="0F502CA4" w:rsidR="00B91BB7" w:rsidRPr="00611E59" w:rsidRDefault="0089573E" w:rsidP="008B766F">
            <w:pPr>
              <w:jc w:val="both"/>
              <w:rPr>
                <w:rFonts w:cstheme="minorHAnsi"/>
              </w:rPr>
            </w:pPr>
            <w:r w:rsidRPr="0089573E">
              <w:rPr>
                <w:rFonts w:cstheme="minorHAnsi"/>
              </w:rPr>
              <w:t>Związek Pracodawców Polska Miedź</w:t>
            </w:r>
          </w:p>
        </w:tc>
        <w:tc>
          <w:tcPr>
            <w:tcW w:w="2694" w:type="dxa"/>
          </w:tcPr>
          <w:p w14:paraId="18801E29" w14:textId="77777777" w:rsidR="00B91BB7" w:rsidRPr="00611E59" w:rsidRDefault="00B91BB7" w:rsidP="008B766F">
            <w:pPr>
              <w:jc w:val="both"/>
              <w:rPr>
                <w:rFonts w:cstheme="minorHAnsi"/>
              </w:rPr>
            </w:pPr>
            <w:r w:rsidRPr="00611E59">
              <w:rPr>
                <w:rFonts w:cstheme="minorHAnsi"/>
              </w:rPr>
              <w:t>Proponowany dodatkowy przepis projektu – zmiana ustawy z dnia 16 kwietnia 2004 r. o ochronie przyrody</w:t>
            </w:r>
          </w:p>
        </w:tc>
        <w:tc>
          <w:tcPr>
            <w:tcW w:w="5103" w:type="dxa"/>
          </w:tcPr>
          <w:p w14:paraId="0611B7C8" w14:textId="645C0408" w:rsidR="00B91BB7" w:rsidRPr="00611E59" w:rsidRDefault="00B91BB7" w:rsidP="008B766F">
            <w:pPr>
              <w:jc w:val="both"/>
              <w:rPr>
                <w:rFonts w:cstheme="minorHAnsi"/>
              </w:rPr>
            </w:pPr>
            <w:r w:rsidRPr="00611E59">
              <w:rPr>
                <w:rFonts w:cstheme="minorHAnsi"/>
              </w:rPr>
              <w:t xml:space="preserve">Dla projektów dotyczących surowców krytycznych należy wprowadzić zwolnienie z obowiązku uzyskania zezwolenia na usunięcie drzew lub krzewów oraz z opłat, obejmujące także inwestycje niezbędne. </w:t>
            </w:r>
            <w:r w:rsidR="00611E59">
              <w:t xml:space="preserve"> </w:t>
            </w:r>
            <w:r w:rsidR="00611E59" w:rsidRPr="00611E59">
              <w:rPr>
                <w:rFonts w:cstheme="minorHAnsi"/>
              </w:rPr>
              <w:t xml:space="preserve">Postuluje się więc wprowadzenie w odniesieniu do projektów dotyczących surowców krytycznych oraz przedsięwzięć i infrastruktury niezbędnych do ich przygotowania, realizacji, eksploatacji i utrzymania zwolnienia z obowiązku: 1) uzyskania zezwolenia na usunięcie drzew lub krzewów oraz ponoszenia opłat z tego tytułu, o których mowa w art. 83 i następnych ustawy z dnia 16 kwietnia 2004 r. o ochronie przyrody; 2) uzyskania decyzji zezwalającej na wyłączenie gruntów z produkcji rolnej lub leśnej, o której mowa w art. 11 ustawy z dnia 3 lutego 1995 r. o ochronie gruntów rolnych i leśnych; 3) ponoszenia należności, opłat rocznych oraz jednorazowego odszkodowania z tytułu przedwczesnego wyrębu drzewostanu, określonych w art. 12 tej ustawy. Zwolnienie powinno </w:t>
            </w:r>
            <w:r w:rsidR="00611E59" w:rsidRPr="00611E59">
              <w:rPr>
                <w:rFonts w:cstheme="minorHAnsi"/>
              </w:rPr>
              <w:lastRenderedPageBreak/>
              <w:t>obejmować zarówno zasadniczy projekt dotyczący surowców krytycznych, w szczególności projekt strategiczny w rozumieniu rozporządzenia (UE) 2024/1252, jak i funkcjonalnie z nim powiązane przedsięwzięcia oraz infrastrukturę towarzyszącą, bez których realizacja lub prawidłowe funkcjonowanie projektu nie byłyby możliwe.</w:t>
            </w:r>
          </w:p>
        </w:tc>
        <w:tc>
          <w:tcPr>
            <w:tcW w:w="4252" w:type="dxa"/>
          </w:tcPr>
          <w:p w14:paraId="70C41F90" w14:textId="77777777" w:rsidR="00B91BB7" w:rsidRPr="00611E59" w:rsidRDefault="00B91BB7" w:rsidP="008B766F">
            <w:pPr>
              <w:jc w:val="both"/>
              <w:rPr>
                <w:rFonts w:cstheme="minorHAnsi"/>
              </w:rPr>
            </w:pPr>
            <w:r w:rsidRPr="00611E59">
              <w:rPr>
                <w:rFonts w:cstheme="minorHAnsi"/>
              </w:rPr>
              <w:lastRenderedPageBreak/>
              <w:t>W ustawie z dnia 16 kwietnia 2004 r. o ochronie przyrody po art. 83f dodać art. 83fa:</w:t>
            </w:r>
            <w:r w:rsidRPr="00611E59">
              <w:rPr>
                <w:rFonts w:cstheme="minorHAnsi"/>
              </w:rPr>
              <w:br/>
              <w:t>„Art. 83fa. 1. Usunięcie drzew lub krzewów na potrzeby realizacji projektu dotyczącego surowców krytycznych w rozumieniu rozporządzenia (UE) 2024/1252 oraz inwestycji niezbędnej do realizacji takiego projektu nie wymaga uzyskania zezwolenia, o którym mowa w art. 83 ust. 1.</w:t>
            </w:r>
            <w:r w:rsidRPr="00611E59">
              <w:rPr>
                <w:rFonts w:cstheme="minorHAnsi"/>
              </w:rPr>
              <w:br/>
              <w:t>2. Za usunięcie drzew lub krzewów, o którym mowa w ust. 1, nie nalicza się opłat, o których mowa w art. 84 ust. 1.</w:t>
            </w:r>
            <w:r w:rsidRPr="00611E59">
              <w:rPr>
                <w:rFonts w:cstheme="minorHAnsi"/>
              </w:rPr>
              <w:br/>
              <w:t xml:space="preserve">3. Przez inwestycję niezbędną do realizacji projektu rozumie się inwestycję pozostającą w bezpośrednim funkcjonalnym związku z tym projektem, konieczną do jego przygotowania, realizacji, uruchomienia, prowadzenia lub zakończenia, w szczególności w zakresie dostępu do terenu, </w:t>
            </w:r>
            <w:r w:rsidRPr="00611E59">
              <w:rPr>
                <w:rFonts w:cstheme="minorHAnsi"/>
              </w:rPr>
              <w:lastRenderedPageBreak/>
              <w:t>infrastruktury technicznej, energetycznej, transportowej, wodnej, kanalizacyjnej, odwodnienia, retencji, monitoringu, zabezpieczenia terenu oraz gospodarki odpadami, w tym odpadami wydobywczymi.</w:t>
            </w:r>
            <w:r w:rsidRPr="00611E59">
              <w:rPr>
                <w:rFonts w:cstheme="minorHAnsi"/>
              </w:rPr>
              <w:br/>
              <w:t>4. Jeżeli realizacja projektu lub inwestycji niezbędnej wymaga usunięcia drzew lub krzewów z gruntów pozostających w zarządzie Państwowego Gospodarstwa Leśnego Lasy Państwowe, usunięcia dokonują właściwe jednostki organizacyjne Lasów Państwowych na podstawie porozumienia zawartego z inwestorem.</w:t>
            </w:r>
            <w:r w:rsidRPr="00611E59">
              <w:rPr>
                <w:rFonts w:cstheme="minorHAnsi"/>
              </w:rPr>
              <w:br/>
              <w:t>5. Koszty usunięcia drzew i krzewów oraz ich uprzątnięcia ponosi inwestor.</w:t>
            </w:r>
            <w:r w:rsidRPr="00611E59">
              <w:rPr>
                <w:rFonts w:cstheme="minorHAnsi"/>
              </w:rPr>
              <w:br/>
              <w:t>6. Drewno pozyskane w wyniku usunięcia, o którym mowa w ust. 4, stanowi własność Państwowego Gospodarstwa Leśnego Lasy Państwowe.</w:t>
            </w:r>
            <w:r w:rsidRPr="00611E59">
              <w:rPr>
                <w:rFonts w:cstheme="minorHAnsi"/>
              </w:rPr>
              <w:br/>
              <w:t>7. W przypadku nieuzgodnienia warunków porozumienia w terminie 30 dni od dnia doręczenia właściwej jednostce organizacyjnej Lasów Państwowych wystąpienia inwestora o jego zawarcie, warunki wykonania usunięcia drzew lub krzewów, w tym termin jego przeprowadzenia, określa wojewoda, w drodze postanowienia, na które przysługuje zażalenie. Organem wyższego stopnia jest minister właściwy do spraw środowiska.</w:t>
            </w:r>
            <w:r w:rsidRPr="00611E59">
              <w:rPr>
                <w:rFonts w:cstheme="minorHAnsi"/>
              </w:rPr>
              <w:br/>
              <w:t xml:space="preserve">8. Przepisy ust. 1–7 nie naruszają obowiązków wynikających z przepisów o ochronie gatunkowej i obszarowej, ocenach oddziaływania na środowisko ani warunków </w:t>
            </w:r>
            <w:r w:rsidRPr="00611E59">
              <w:rPr>
                <w:rFonts w:cstheme="minorHAnsi"/>
              </w:rPr>
              <w:lastRenderedPageBreak/>
              <w:t>kompensacji przyrodniczej określonych w decyzjach właściwych organów.”</w:t>
            </w:r>
          </w:p>
        </w:tc>
        <w:tc>
          <w:tcPr>
            <w:tcW w:w="1428" w:type="dxa"/>
          </w:tcPr>
          <w:p w14:paraId="2EFBC216" w14:textId="77777777" w:rsidR="00B91BB7" w:rsidRPr="00611E59" w:rsidRDefault="00B91BB7" w:rsidP="008B766F">
            <w:pPr>
              <w:jc w:val="both"/>
              <w:rPr>
                <w:rFonts w:cstheme="minorHAnsi"/>
              </w:rPr>
            </w:pPr>
          </w:p>
        </w:tc>
      </w:tr>
      <w:tr w:rsidR="00611E59" w:rsidRPr="00611E59" w14:paraId="2E306A58" w14:textId="77777777" w:rsidTr="009B5AD6">
        <w:tc>
          <w:tcPr>
            <w:tcW w:w="562" w:type="dxa"/>
          </w:tcPr>
          <w:p w14:paraId="6429DF65" w14:textId="323C1941" w:rsidR="00611E59" w:rsidRPr="00611E59" w:rsidRDefault="00240C97" w:rsidP="008B766F">
            <w:pPr>
              <w:jc w:val="center"/>
              <w:rPr>
                <w:rFonts w:cstheme="minorHAnsi"/>
              </w:rPr>
            </w:pPr>
            <w:r>
              <w:rPr>
                <w:rFonts w:cstheme="minorHAnsi"/>
              </w:rPr>
              <w:lastRenderedPageBreak/>
              <w:t>5.</w:t>
            </w:r>
          </w:p>
        </w:tc>
        <w:tc>
          <w:tcPr>
            <w:tcW w:w="1701" w:type="dxa"/>
          </w:tcPr>
          <w:p w14:paraId="356C231F" w14:textId="5460A7E2" w:rsidR="00611E59" w:rsidRPr="00611E59" w:rsidRDefault="0089573E" w:rsidP="008B766F">
            <w:pPr>
              <w:jc w:val="both"/>
              <w:rPr>
                <w:rFonts w:cstheme="minorHAnsi"/>
              </w:rPr>
            </w:pPr>
            <w:r w:rsidRPr="0089573E">
              <w:rPr>
                <w:rFonts w:cstheme="minorHAnsi"/>
              </w:rPr>
              <w:t>Związek Pracodawców Polska Miedź</w:t>
            </w:r>
          </w:p>
        </w:tc>
        <w:tc>
          <w:tcPr>
            <w:tcW w:w="2694" w:type="dxa"/>
          </w:tcPr>
          <w:p w14:paraId="108C38A7" w14:textId="620059DE" w:rsidR="00611E59" w:rsidRPr="00611E59" w:rsidRDefault="00611E59" w:rsidP="008B766F">
            <w:pPr>
              <w:jc w:val="both"/>
              <w:rPr>
                <w:rFonts w:cstheme="minorHAnsi"/>
              </w:rPr>
            </w:pPr>
            <w:r w:rsidRPr="00611E59">
              <w:rPr>
                <w:rFonts w:cstheme="minorHAnsi"/>
              </w:rPr>
              <w:t>Proponowany dodatkowy przepis projektu – zmiana ustawy</w:t>
            </w:r>
            <w:r>
              <w:rPr>
                <w:rFonts w:cstheme="minorHAnsi"/>
              </w:rPr>
              <w:t xml:space="preserve"> z 20 lipca 2017 prawo wodne</w:t>
            </w:r>
          </w:p>
        </w:tc>
        <w:tc>
          <w:tcPr>
            <w:tcW w:w="5103" w:type="dxa"/>
          </w:tcPr>
          <w:p w14:paraId="7F7A004D" w14:textId="77777777" w:rsidR="00611E59" w:rsidRPr="00611E59" w:rsidRDefault="00611E59" w:rsidP="00611E59">
            <w:pPr>
              <w:jc w:val="both"/>
              <w:rPr>
                <w:rFonts w:cstheme="minorHAnsi"/>
              </w:rPr>
            </w:pPr>
            <w:r w:rsidRPr="00611E59">
              <w:rPr>
                <w:rFonts w:cstheme="minorHAnsi"/>
              </w:rPr>
              <w:t xml:space="preserve">Należy </w:t>
            </w:r>
            <w:bookmarkStart w:id="2" w:name="_Hlk221635976"/>
            <w:r w:rsidRPr="00611E59">
              <w:rPr>
                <w:rFonts w:cstheme="minorHAnsi"/>
              </w:rPr>
              <w:t>wyeliminować bariery prawne stwarzające zagrożenia w gospodarowaniu wodą na potrzeby zakładu górniczego, w tym prowadzącego ruch w ramach realizacji projektu strategicznego</w:t>
            </w:r>
            <w:bookmarkEnd w:id="2"/>
            <w:r w:rsidRPr="00611E59">
              <w:rPr>
                <w:rFonts w:cstheme="minorHAnsi"/>
              </w:rPr>
              <w:t xml:space="preserve">, tj. zmianę art. 20 </w:t>
            </w:r>
            <w:proofErr w:type="spellStart"/>
            <w:r w:rsidRPr="00611E59">
              <w:rPr>
                <w:rFonts w:cstheme="minorHAnsi"/>
              </w:rPr>
              <w:t>p.g.g</w:t>
            </w:r>
            <w:proofErr w:type="spellEnd"/>
            <w:r w:rsidRPr="00611E59">
              <w:rPr>
                <w:rFonts w:cstheme="minorHAnsi"/>
              </w:rPr>
              <w:t xml:space="preserve">. poprzez stworzenie z dotychczasowej treści ust. 1 oraz dodanie jako ust. 2 i 3 brzmienia jak w kolumnie obok. </w:t>
            </w:r>
          </w:p>
          <w:p w14:paraId="6E6610B8" w14:textId="13CAC44C" w:rsidR="00611E59" w:rsidRPr="00611E59" w:rsidRDefault="00611E59" w:rsidP="00611E59">
            <w:pPr>
              <w:jc w:val="both"/>
              <w:rPr>
                <w:rFonts w:cstheme="minorHAnsi"/>
              </w:rPr>
            </w:pPr>
            <w:r w:rsidRPr="00611E59">
              <w:rPr>
                <w:rFonts w:cstheme="minorHAnsi"/>
              </w:rPr>
              <w:t>Trzeba tu podkreślić, że  projektowana ustawa wdrażająca rozporządzenie 2024/1252 (CRMA) stanowi właściwy akt prawny do wprowadzenia rozwiązań szczególnych usprawniających i przyspieszających realizację inwestycji w zakresie projektów dotyczących surowców krytycznych, ponieważ jej przedmiotem jest nie tylko formalne wyznaczenie organów właściwych do wykonywania zadań wynikających z CRMA, lecz także ustanowienie krajowych mechanizmów proceduralnych i instytucjonalnych, które mogą wpłynąć na zwiększenie zdolności wydobywczych w zakresie surowców krytycznych. Drogą do tego celu jest stworzenie szans i usunięcie realnych barier.</w:t>
            </w:r>
          </w:p>
        </w:tc>
        <w:tc>
          <w:tcPr>
            <w:tcW w:w="4252" w:type="dxa"/>
          </w:tcPr>
          <w:p w14:paraId="0C654614" w14:textId="77777777" w:rsidR="00611E59" w:rsidRPr="00611E59" w:rsidRDefault="00611E59" w:rsidP="00611E59">
            <w:pPr>
              <w:jc w:val="both"/>
              <w:rPr>
                <w:rFonts w:cstheme="minorHAnsi"/>
                <w:i/>
                <w:iCs/>
              </w:rPr>
            </w:pPr>
            <w:bookmarkStart w:id="3" w:name="_Hlk221636236"/>
            <w:r w:rsidRPr="00611E59">
              <w:rPr>
                <w:rFonts w:cstheme="minorHAnsi"/>
                <w:i/>
                <w:iCs/>
              </w:rPr>
              <w:t>Wody kopalniane nie stanowią ścieków, o których mowa w art. 16 pkt 61 Ustawa z dnia 20 lipca 2017 r. Prawo wodne (</w:t>
            </w:r>
            <w:proofErr w:type="spellStart"/>
            <w:r w:rsidRPr="00611E59">
              <w:rPr>
                <w:rFonts w:cstheme="minorHAnsi"/>
                <w:i/>
                <w:iCs/>
              </w:rPr>
              <w:t>t.j</w:t>
            </w:r>
            <w:proofErr w:type="spellEnd"/>
            <w:r w:rsidRPr="00611E59">
              <w:rPr>
                <w:rFonts w:cstheme="minorHAnsi"/>
                <w:i/>
                <w:iCs/>
              </w:rPr>
              <w:t>. Dz. U. z 2017.1566) do momentu wprowadzenia ich do wód lub do ziemi.</w:t>
            </w:r>
          </w:p>
          <w:bookmarkEnd w:id="3"/>
          <w:p w14:paraId="0AA25670" w14:textId="77777777" w:rsidR="00611E59" w:rsidRPr="00611E59" w:rsidRDefault="00611E59" w:rsidP="00611E59">
            <w:pPr>
              <w:jc w:val="both"/>
              <w:rPr>
                <w:rFonts w:cstheme="minorHAnsi"/>
                <w:i/>
                <w:iCs/>
              </w:rPr>
            </w:pPr>
            <w:r w:rsidRPr="00611E59">
              <w:rPr>
                <w:rFonts w:cstheme="minorHAnsi"/>
                <w:i/>
                <w:iCs/>
              </w:rPr>
              <w:t>Wód kopalnianych nie uznaje się za zanieczyszczone, jeżeli substancje w nich zawarte są pochodzenia naturalnego.</w:t>
            </w:r>
          </w:p>
          <w:p w14:paraId="30A66022" w14:textId="77777777" w:rsidR="00611E59" w:rsidRPr="00611E59" w:rsidRDefault="00611E59" w:rsidP="00611E59">
            <w:pPr>
              <w:jc w:val="both"/>
              <w:rPr>
                <w:rFonts w:cstheme="minorHAnsi"/>
                <w:i/>
                <w:iCs/>
              </w:rPr>
            </w:pPr>
          </w:p>
          <w:p w14:paraId="5C9C4992" w14:textId="243E2337" w:rsidR="00611E59" w:rsidRPr="00611E59" w:rsidRDefault="00611E59" w:rsidP="00611E59">
            <w:pPr>
              <w:jc w:val="both"/>
              <w:rPr>
                <w:rFonts w:cstheme="minorHAnsi"/>
              </w:rPr>
            </w:pPr>
          </w:p>
        </w:tc>
        <w:tc>
          <w:tcPr>
            <w:tcW w:w="1428" w:type="dxa"/>
          </w:tcPr>
          <w:p w14:paraId="72BF4113" w14:textId="77777777" w:rsidR="00611E59" w:rsidRPr="00611E59" w:rsidRDefault="00611E59" w:rsidP="008B766F">
            <w:pPr>
              <w:jc w:val="both"/>
              <w:rPr>
                <w:rFonts w:cstheme="minorHAnsi"/>
              </w:rPr>
            </w:pPr>
          </w:p>
        </w:tc>
      </w:tr>
      <w:bookmarkEnd w:id="0"/>
    </w:tbl>
    <w:p w14:paraId="4A485AB3" w14:textId="77777777" w:rsidR="00CA2841" w:rsidRPr="00611E59" w:rsidRDefault="00CA2841" w:rsidP="008B766F">
      <w:pPr>
        <w:spacing w:after="0" w:line="240" w:lineRule="auto"/>
        <w:rPr>
          <w:rFonts w:cstheme="minorHAnsi"/>
        </w:rPr>
      </w:pPr>
    </w:p>
    <w:sectPr w:rsidR="00CA2841" w:rsidRPr="00611E59" w:rsidSect="00B91BB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CB5F" w14:textId="77777777" w:rsidR="0026399A" w:rsidRDefault="0026399A" w:rsidP="00CA2841">
      <w:pPr>
        <w:spacing w:after="0" w:line="240" w:lineRule="auto"/>
      </w:pPr>
      <w:r>
        <w:separator/>
      </w:r>
    </w:p>
  </w:endnote>
  <w:endnote w:type="continuationSeparator" w:id="0">
    <w:p w14:paraId="3CC54062" w14:textId="77777777" w:rsidR="0026399A" w:rsidRDefault="0026399A" w:rsidP="00CA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06F0E" w14:textId="77777777" w:rsidR="0026399A" w:rsidRDefault="0026399A" w:rsidP="00CA2841">
      <w:pPr>
        <w:spacing w:after="0" w:line="240" w:lineRule="auto"/>
      </w:pPr>
      <w:r>
        <w:separator/>
      </w:r>
    </w:p>
  </w:footnote>
  <w:footnote w:type="continuationSeparator" w:id="0">
    <w:p w14:paraId="02D131C8" w14:textId="77777777" w:rsidR="0026399A" w:rsidRDefault="0026399A" w:rsidP="00CA2841">
      <w:pPr>
        <w:spacing w:after="0" w:line="240" w:lineRule="auto"/>
      </w:pPr>
      <w:r>
        <w:continuationSeparator/>
      </w:r>
    </w:p>
  </w:footnote>
  <w:footnote w:id="1">
    <w:p w14:paraId="722C9D04" w14:textId="76DFC1E6" w:rsidR="004F2D1D" w:rsidRPr="00EF494C" w:rsidRDefault="004F2D1D">
      <w:pPr>
        <w:pStyle w:val="Tekstprzypisudolnego"/>
        <w:rPr>
          <w:rFonts w:ascii="Lato" w:hAnsi="Lato" w:cs="Times New Roman"/>
          <w:sz w:val="22"/>
          <w:szCs w:val="22"/>
        </w:rPr>
      </w:pPr>
      <w:r w:rsidRPr="00EF494C">
        <w:rPr>
          <w:rStyle w:val="Odwoanieprzypisudolnego"/>
          <w:rFonts w:ascii="Lato" w:hAnsi="Lato" w:cs="Times New Roman"/>
        </w:rPr>
        <w:t>1)</w:t>
      </w:r>
      <w:r w:rsidRPr="00EF494C">
        <w:rPr>
          <w:rFonts w:ascii="Lato" w:hAnsi="Lato" w:cs="Times New Roman"/>
        </w:rPr>
        <w:t xml:space="preserve"> </w:t>
      </w:r>
      <w:r w:rsidR="00B91BB7" w:rsidRPr="00EF494C">
        <w:rPr>
          <w:rFonts w:ascii="Lato" w:hAnsi="Lato" w:cs="Times New Roman"/>
        </w:rPr>
        <w:t>W przypadku aktu nowelizującego n</w:t>
      </w:r>
      <w:r w:rsidRPr="00EF494C">
        <w:rPr>
          <w:rFonts w:ascii="Lato" w:hAnsi="Lato" w:cs="Times New Roman"/>
        </w:rPr>
        <w:t xml:space="preserve">ależy wskazać jednostkę redakcyjną projektu </w:t>
      </w:r>
      <w:r w:rsidR="00EB31B4" w:rsidRPr="00EF494C">
        <w:rPr>
          <w:rFonts w:ascii="Lato" w:hAnsi="Lato" w:cs="Times New Roman"/>
        </w:rPr>
        <w:t>oraz jednostkę redakcyjną zmienianego aktu prawnego.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41"/>
    <w:rsid w:val="000113B2"/>
    <w:rsid w:val="00027B4D"/>
    <w:rsid w:val="00056681"/>
    <w:rsid w:val="00094C8A"/>
    <w:rsid w:val="000C161E"/>
    <w:rsid w:val="00167C43"/>
    <w:rsid w:val="0019568F"/>
    <w:rsid w:val="001B734F"/>
    <w:rsid w:val="001E4824"/>
    <w:rsid w:val="00240C97"/>
    <w:rsid w:val="0026399A"/>
    <w:rsid w:val="003F7292"/>
    <w:rsid w:val="00401B14"/>
    <w:rsid w:val="00435D45"/>
    <w:rsid w:val="004660E0"/>
    <w:rsid w:val="004A4D2E"/>
    <w:rsid w:val="004A6C9E"/>
    <w:rsid w:val="004F2D1D"/>
    <w:rsid w:val="00516677"/>
    <w:rsid w:val="00554A26"/>
    <w:rsid w:val="00611E59"/>
    <w:rsid w:val="0065784C"/>
    <w:rsid w:val="006A1820"/>
    <w:rsid w:val="00773DAD"/>
    <w:rsid w:val="008761D7"/>
    <w:rsid w:val="00894E5C"/>
    <w:rsid w:val="0089573E"/>
    <w:rsid w:val="008B1756"/>
    <w:rsid w:val="008B766F"/>
    <w:rsid w:val="0090574C"/>
    <w:rsid w:val="00926D13"/>
    <w:rsid w:val="009B5AD6"/>
    <w:rsid w:val="009E504D"/>
    <w:rsid w:val="00B6524F"/>
    <w:rsid w:val="00B829F8"/>
    <w:rsid w:val="00B91BB7"/>
    <w:rsid w:val="00BF3C6E"/>
    <w:rsid w:val="00C93278"/>
    <w:rsid w:val="00CA2841"/>
    <w:rsid w:val="00CD3075"/>
    <w:rsid w:val="00D35962"/>
    <w:rsid w:val="00E40E3D"/>
    <w:rsid w:val="00EB31B4"/>
    <w:rsid w:val="00EC4C43"/>
    <w:rsid w:val="00EF494C"/>
    <w:rsid w:val="00FC3BB6"/>
    <w:rsid w:val="4C4D4A8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3F60"/>
  <w15:chartTrackingRefBased/>
  <w15:docId w15:val="{6BE2EF6E-7A57-45BA-8729-04A92DBE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CA284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A2841"/>
    <w:rPr>
      <w:sz w:val="20"/>
      <w:szCs w:val="20"/>
    </w:rPr>
  </w:style>
  <w:style w:type="character" w:styleId="Odwoanieprzypisudolnego">
    <w:name w:val="footnote reference"/>
    <w:basedOn w:val="Domylnaczcionkaakapitu"/>
    <w:uiPriority w:val="99"/>
    <w:semiHidden/>
    <w:unhideWhenUsed/>
    <w:rsid w:val="00CA2841"/>
    <w:rPr>
      <w:vertAlign w:val="superscript"/>
    </w:rPr>
  </w:style>
  <w:style w:type="table" w:styleId="Tabela-Siatka">
    <w:name w:val="Table Grid"/>
    <w:basedOn w:val="Standardowy"/>
    <w:uiPriority w:val="39"/>
    <w:rsid w:val="00CA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2D1D"/>
    <w:rPr>
      <w:sz w:val="16"/>
      <w:szCs w:val="16"/>
    </w:rPr>
  </w:style>
  <w:style w:type="paragraph" w:styleId="Tekstkomentarza">
    <w:name w:val="annotation text"/>
    <w:basedOn w:val="Normalny"/>
    <w:link w:val="TekstkomentarzaZnak"/>
    <w:uiPriority w:val="99"/>
    <w:unhideWhenUsed/>
    <w:rsid w:val="004F2D1D"/>
    <w:pPr>
      <w:spacing w:line="240" w:lineRule="auto"/>
    </w:pPr>
    <w:rPr>
      <w:sz w:val="20"/>
      <w:szCs w:val="20"/>
    </w:rPr>
  </w:style>
  <w:style w:type="character" w:customStyle="1" w:styleId="TekstkomentarzaZnak">
    <w:name w:val="Tekst komentarza Znak"/>
    <w:basedOn w:val="Domylnaczcionkaakapitu"/>
    <w:link w:val="Tekstkomentarza"/>
    <w:uiPriority w:val="99"/>
    <w:rsid w:val="004F2D1D"/>
    <w:rPr>
      <w:sz w:val="20"/>
      <w:szCs w:val="20"/>
    </w:rPr>
  </w:style>
  <w:style w:type="paragraph" w:styleId="Tematkomentarza">
    <w:name w:val="annotation subject"/>
    <w:basedOn w:val="Tekstkomentarza"/>
    <w:next w:val="Tekstkomentarza"/>
    <w:link w:val="TematkomentarzaZnak"/>
    <w:uiPriority w:val="99"/>
    <w:semiHidden/>
    <w:unhideWhenUsed/>
    <w:rsid w:val="004F2D1D"/>
    <w:rPr>
      <w:b/>
      <w:bCs/>
    </w:rPr>
  </w:style>
  <w:style w:type="character" w:customStyle="1" w:styleId="TematkomentarzaZnak">
    <w:name w:val="Temat komentarza Znak"/>
    <w:basedOn w:val="TekstkomentarzaZnak"/>
    <w:link w:val="Tematkomentarza"/>
    <w:uiPriority w:val="99"/>
    <w:semiHidden/>
    <w:rsid w:val="004F2D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239">
      <w:bodyDiv w:val="1"/>
      <w:marLeft w:val="0"/>
      <w:marRight w:val="0"/>
      <w:marTop w:val="0"/>
      <w:marBottom w:val="0"/>
      <w:divBdr>
        <w:top w:val="none" w:sz="0" w:space="0" w:color="auto"/>
        <w:left w:val="none" w:sz="0" w:space="0" w:color="auto"/>
        <w:bottom w:val="none" w:sz="0" w:space="0" w:color="auto"/>
        <w:right w:val="none" w:sz="0" w:space="0" w:color="auto"/>
      </w:divBdr>
      <w:divsChild>
        <w:div w:id="1212889682">
          <w:marLeft w:val="0"/>
          <w:marRight w:val="0"/>
          <w:marTop w:val="0"/>
          <w:marBottom w:val="0"/>
          <w:divBdr>
            <w:top w:val="none" w:sz="0" w:space="0" w:color="auto"/>
            <w:left w:val="none" w:sz="0" w:space="0" w:color="auto"/>
            <w:bottom w:val="none" w:sz="0" w:space="0" w:color="auto"/>
            <w:right w:val="none" w:sz="0" w:space="0" w:color="auto"/>
          </w:divBdr>
        </w:div>
      </w:divsChild>
    </w:div>
    <w:div w:id="161043585">
      <w:bodyDiv w:val="1"/>
      <w:marLeft w:val="0"/>
      <w:marRight w:val="0"/>
      <w:marTop w:val="0"/>
      <w:marBottom w:val="0"/>
      <w:divBdr>
        <w:top w:val="none" w:sz="0" w:space="0" w:color="auto"/>
        <w:left w:val="none" w:sz="0" w:space="0" w:color="auto"/>
        <w:bottom w:val="none" w:sz="0" w:space="0" w:color="auto"/>
        <w:right w:val="none" w:sz="0" w:space="0" w:color="auto"/>
      </w:divBdr>
      <w:divsChild>
        <w:div w:id="282998191">
          <w:marLeft w:val="0"/>
          <w:marRight w:val="0"/>
          <w:marTop w:val="0"/>
          <w:marBottom w:val="0"/>
          <w:divBdr>
            <w:top w:val="none" w:sz="0" w:space="0" w:color="auto"/>
            <w:left w:val="none" w:sz="0" w:space="0" w:color="auto"/>
            <w:bottom w:val="none" w:sz="0" w:space="0" w:color="auto"/>
            <w:right w:val="none" w:sz="0" w:space="0" w:color="auto"/>
          </w:divBdr>
          <w:divsChild>
            <w:div w:id="52625431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396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7048472">
      <w:bodyDiv w:val="1"/>
      <w:marLeft w:val="0"/>
      <w:marRight w:val="0"/>
      <w:marTop w:val="0"/>
      <w:marBottom w:val="0"/>
      <w:divBdr>
        <w:top w:val="none" w:sz="0" w:space="0" w:color="auto"/>
        <w:left w:val="none" w:sz="0" w:space="0" w:color="auto"/>
        <w:bottom w:val="none" w:sz="0" w:space="0" w:color="auto"/>
        <w:right w:val="none" w:sz="0" w:space="0" w:color="auto"/>
      </w:divBdr>
      <w:divsChild>
        <w:div w:id="452553382">
          <w:marLeft w:val="0"/>
          <w:marRight w:val="0"/>
          <w:marTop w:val="0"/>
          <w:marBottom w:val="0"/>
          <w:divBdr>
            <w:top w:val="none" w:sz="0" w:space="0" w:color="auto"/>
            <w:left w:val="none" w:sz="0" w:space="0" w:color="auto"/>
            <w:bottom w:val="none" w:sz="0" w:space="0" w:color="auto"/>
            <w:right w:val="none" w:sz="0" w:space="0" w:color="auto"/>
          </w:divBdr>
        </w:div>
      </w:divsChild>
    </w:div>
    <w:div w:id="520775948">
      <w:bodyDiv w:val="1"/>
      <w:marLeft w:val="0"/>
      <w:marRight w:val="0"/>
      <w:marTop w:val="0"/>
      <w:marBottom w:val="0"/>
      <w:divBdr>
        <w:top w:val="none" w:sz="0" w:space="0" w:color="auto"/>
        <w:left w:val="none" w:sz="0" w:space="0" w:color="auto"/>
        <w:bottom w:val="none" w:sz="0" w:space="0" w:color="auto"/>
        <w:right w:val="none" w:sz="0" w:space="0" w:color="auto"/>
      </w:divBdr>
      <w:divsChild>
        <w:div w:id="190729305">
          <w:marLeft w:val="0"/>
          <w:marRight w:val="0"/>
          <w:marTop w:val="0"/>
          <w:marBottom w:val="0"/>
          <w:divBdr>
            <w:top w:val="none" w:sz="0" w:space="0" w:color="auto"/>
            <w:left w:val="none" w:sz="0" w:space="0" w:color="auto"/>
            <w:bottom w:val="none" w:sz="0" w:space="0" w:color="auto"/>
            <w:right w:val="none" w:sz="0" w:space="0" w:color="auto"/>
          </w:divBdr>
        </w:div>
      </w:divsChild>
    </w:div>
    <w:div w:id="546837314">
      <w:bodyDiv w:val="1"/>
      <w:marLeft w:val="0"/>
      <w:marRight w:val="0"/>
      <w:marTop w:val="0"/>
      <w:marBottom w:val="0"/>
      <w:divBdr>
        <w:top w:val="none" w:sz="0" w:space="0" w:color="auto"/>
        <w:left w:val="none" w:sz="0" w:space="0" w:color="auto"/>
        <w:bottom w:val="none" w:sz="0" w:space="0" w:color="auto"/>
        <w:right w:val="none" w:sz="0" w:space="0" w:color="auto"/>
      </w:divBdr>
      <w:divsChild>
        <w:div w:id="649596906">
          <w:marLeft w:val="0"/>
          <w:marRight w:val="0"/>
          <w:marTop w:val="0"/>
          <w:marBottom w:val="0"/>
          <w:divBdr>
            <w:top w:val="none" w:sz="0" w:space="0" w:color="auto"/>
            <w:left w:val="none" w:sz="0" w:space="0" w:color="auto"/>
            <w:bottom w:val="none" w:sz="0" w:space="0" w:color="auto"/>
            <w:right w:val="none" w:sz="0" w:space="0" w:color="auto"/>
          </w:divBdr>
        </w:div>
      </w:divsChild>
    </w:div>
    <w:div w:id="586232505">
      <w:bodyDiv w:val="1"/>
      <w:marLeft w:val="0"/>
      <w:marRight w:val="0"/>
      <w:marTop w:val="0"/>
      <w:marBottom w:val="0"/>
      <w:divBdr>
        <w:top w:val="none" w:sz="0" w:space="0" w:color="auto"/>
        <w:left w:val="none" w:sz="0" w:space="0" w:color="auto"/>
        <w:bottom w:val="none" w:sz="0" w:space="0" w:color="auto"/>
        <w:right w:val="none" w:sz="0" w:space="0" w:color="auto"/>
      </w:divBdr>
    </w:div>
    <w:div w:id="656688488">
      <w:bodyDiv w:val="1"/>
      <w:marLeft w:val="0"/>
      <w:marRight w:val="0"/>
      <w:marTop w:val="0"/>
      <w:marBottom w:val="0"/>
      <w:divBdr>
        <w:top w:val="none" w:sz="0" w:space="0" w:color="auto"/>
        <w:left w:val="none" w:sz="0" w:space="0" w:color="auto"/>
        <w:bottom w:val="none" w:sz="0" w:space="0" w:color="auto"/>
        <w:right w:val="none" w:sz="0" w:space="0" w:color="auto"/>
      </w:divBdr>
    </w:div>
    <w:div w:id="776483752">
      <w:bodyDiv w:val="1"/>
      <w:marLeft w:val="0"/>
      <w:marRight w:val="0"/>
      <w:marTop w:val="0"/>
      <w:marBottom w:val="0"/>
      <w:divBdr>
        <w:top w:val="none" w:sz="0" w:space="0" w:color="auto"/>
        <w:left w:val="none" w:sz="0" w:space="0" w:color="auto"/>
        <w:bottom w:val="none" w:sz="0" w:space="0" w:color="auto"/>
        <w:right w:val="none" w:sz="0" w:space="0" w:color="auto"/>
      </w:divBdr>
      <w:divsChild>
        <w:div w:id="1511868469">
          <w:marLeft w:val="0"/>
          <w:marRight w:val="0"/>
          <w:marTop w:val="0"/>
          <w:marBottom w:val="0"/>
          <w:divBdr>
            <w:top w:val="none" w:sz="0" w:space="0" w:color="auto"/>
            <w:left w:val="none" w:sz="0" w:space="0" w:color="auto"/>
            <w:bottom w:val="none" w:sz="0" w:space="0" w:color="auto"/>
            <w:right w:val="none" w:sz="0" w:space="0" w:color="auto"/>
          </w:divBdr>
          <w:divsChild>
            <w:div w:id="137241562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213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6047848">
      <w:bodyDiv w:val="1"/>
      <w:marLeft w:val="0"/>
      <w:marRight w:val="0"/>
      <w:marTop w:val="0"/>
      <w:marBottom w:val="0"/>
      <w:divBdr>
        <w:top w:val="none" w:sz="0" w:space="0" w:color="auto"/>
        <w:left w:val="none" w:sz="0" w:space="0" w:color="auto"/>
        <w:bottom w:val="none" w:sz="0" w:space="0" w:color="auto"/>
        <w:right w:val="none" w:sz="0" w:space="0" w:color="auto"/>
      </w:divBdr>
      <w:divsChild>
        <w:div w:id="1707753895">
          <w:marLeft w:val="0"/>
          <w:marRight w:val="0"/>
          <w:marTop w:val="0"/>
          <w:marBottom w:val="0"/>
          <w:divBdr>
            <w:top w:val="none" w:sz="0" w:space="0" w:color="auto"/>
            <w:left w:val="none" w:sz="0" w:space="0" w:color="auto"/>
            <w:bottom w:val="none" w:sz="0" w:space="0" w:color="auto"/>
            <w:right w:val="none" w:sz="0" w:space="0" w:color="auto"/>
          </w:divBdr>
          <w:divsChild>
            <w:div w:id="136728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536284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89616390">
      <w:bodyDiv w:val="1"/>
      <w:marLeft w:val="0"/>
      <w:marRight w:val="0"/>
      <w:marTop w:val="0"/>
      <w:marBottom w:val="0"/>
      <w:divBdr>
        <w:top w:val="none" w:sz="0" w:space="0" w:color="auto"/>
        <w:left w:val="none" w:sz="0" w:space="0" w:color="auto"/>
        <w:bottom w:val="none" w:sz="0" w:space="0" w:color="auto"/>
        <w:right w:val="none" w:sz="0" w:space="0" w:color="auto"/>
      </w:divBdr>
      <w:divsChild>
        <w:div w:id="142627857">
          <w:marLeft w:val="0"/>
          <w:marRight w:val="0"/>
          <w:marTop w:val="0"/>
          <w:marBottom w:val="0"/>
          <w:divBdr>
            <w:top w:val="none" w:sz="0" w:space="0" w:color="auto"/>
            <w:left w:val="none" w:sz="0" w:space="0" w:color="auto"/>
            <w:bottom w:val="none" w:sz="0" w:space="0" w:color="auto"/>
            <w:right w:val="none" w:sz="0" w:space="0" w:color="auto"/>
          </w:divBdr>
        </w:div>
      </w:divsChild>
    </w:div>
    <w:div w:id="1490049730">
      <w:bodyDiv w:val="1"/>
      <w:marLeft w:val="0"/>
      <w:marRight w:val="0"/>
      <w:marTop w:val="0"/>
      <w:marBottom w:val="0"/>
      <w:divBdr>
        <w:top w:val="none" w:sz="0" w:space="0" w:color="auto"/>
        <w:left w:val="none" w:sz="0" w:space="0" w:color="auto"/>
        <w:bottom w:val="none" w:sz="0" w:space="0" w:color="auto"/>
        <w:right w:val="none" w:sz="0" w:space="0" w:color="auto"/>
      </w:divBdr>
      <w:divsChild>
        <w:div w:id="1746339249">
          <w:marLeft w:val="0"/>
          <w:marRight w:val="0"/>
          <w:marTop w:val="0"/>
          <w:marBottom w:val="0"/>
          <w:divBdr>
            <w:top w:val="none" w:sz="0" w:space="0" w:color="auto"/>
            <w:left w:val="none" w:sz="0" w:space="0" w:color="auto"/>
            <w:bottom w:val="none" w:sz="0" w:space="0" w:color="auto"/>
            <w:right w:val="none" w:sz="0" w:space="0" w:color="auto"/>
          </w:divBdr>
        </w:div>
      </w:divsChild>
    </w:div>
    <w:div w:id="1727102395">
      <w:bodyDiv w:val="1"/>
      <w:marLeft w:val="0"/>
      <w:marRight w:val="0"/>
      <w:marTop w:val="0"/>
      <w:marBottom w:val="0"/>
      <w:divBdr>
        <w:top w:val="none" w:sz="0" w:space="0" w:color="auto"/>
        <w:left w:val="none" w:sz="0" w:space="0" w:color="auto"/>
        <w:bottom w:val="none" w:sz="0" w:space="0" w:color="auto"/>
        <w:right w:val="none" w:sz="0" w:space="0" w:color="auto"/>
      </w:divBdr>
      <w:divsChild>
        <w:div w:id="2086566856">
          <w:marLeft w:val="0"/>
          <w:marRight w:val="0"/>
          <w:marTop w:val="0"/>
          <w:marBottom w:val="0"/>
          <w:divBdr>
            <w:top w:val="none" w:sz="0" w:space="0" w:color="auto"/>
            <w:left w:val="none" w:sz="0" w:space="0" w:color="auto"/>
            <w:bottom w:val="none" w:sz="0" w:space="0" w:color="auto"/>
            <w:right w:val="none" w:sz="0" w:space="0" w:color="auto"/>
          </w:divBdr>
        </w:div>
      </w:divsChild>
    </w:div>
    <w:div w:id="1728799621">
      <w:bodyDiv w:val="1"/>
      <w:marLeft w:val="0"/>
      <w:marRight w:val="0"/>
      <w:marTop w:val="0"/>
      <w:marBottom w:val="0"/>
      <w:divBdr>
        <w:top w:val="none" w:sz="0" w:space="0" w:color="auto"/>
        <w:left w:val="none" w:sz="0" w:space="0" w:color="auto"/>
        <w:bottom w:val="none" w:sz="0" w:space="0" w:color="auto"/>
        <w:right w:val="none" w:sz="0" w:space="0" w:color="auto"/>
      </w:divBdr>
      <w:divsChild>
        <w:div w:id="683897937">
          <w:marLeft w:val="0"/>
          <w:marRight w:val="0"/>
          <w:marTop w:val="0"/>
          <w:marBottom w:val="0"/>
          <w:divBdr>
            <w:top w:val="none" w:sz="0" w:space="0" w:color="auto"/>
            <w:left w:val="none" w:sz="0" w:space="0" w:color="auto"/>
            <w:bottom w:val="none" w:sz="0" w:space="0" w:color="auto"/>
            <w:right w:val="none" w:sz="0" w:space="0" w:color="auto"/>
          </w:divBdr>
        </w:div>
      </w:divsChild>
    </w:div>
    <w:div w:id="1758363261">
      <w:bodyDiv w:val="1"/>
      <w:marLeft w:val="0"/>
      <w:marRight w:val="0"/>
      <w:marTop w:val="0"/>
      <w:marBottom w:val="0"/>
      <w:divBdr>
        <w:top w:val="none" w:sz="0" w:space="0" w:color="auto"/>
        <w:left w:val="none" w:sz="0" w:space="0" w:color="auto"/>
        <w:bottom w:val="none" w:sz="0" w:space="0" w:color="auto"/>
        <w:right w:val="none" w:sz="0" w:space="0" w:color="auto"/>
      </w:divBdr>
      <w:divsChild>
        <w:div w:id="618798745">
          <w:marLeft w:val="0"/>
          <w:marRight w:val="0"/>
          <w:marTop w:val="0"/>
          <w:marBottom w:val="0"/>
          <w:divBdr>
            <w:top w:val="none" w:sz="0" w:space="0" w:color="auto"/>
            <w:left w:val="none" w:sz="0" w:space="0" w:color="auto"/>
            <w:bottom w:val="none" w:sz="0" w:space="0" w:color="auto"/>
            <w:right w:val="none" w:sz="0" w:space="0" w:color="auto"/>
          </w:divBdr>
        </w:div>
      </w:divsChild>
    </w:div>
    <w:div w:id="2019651512">
      <w:bodyDiv w:val="1"/>
      <w:marLeft w:val="0"/>
      <w:marRight w:val="0"/>
      <w:marTop w:val="0"/>
      <w:marBottom w:val="0"/>
      <w:divBdr>
        <w:top w:val="none" w:sz="0" w:space="0" w:color="auto"/>
        <w:left w:val="none" w:sz="0" w:space="0" w:color="auto"/>
        <w:bottom w:val="none" w:sz="0" w:space="0" w:color="auto"/>
        <w:right w:val="none" w:sz="0" w:space="0" w:color="auto"/>
      </w:divBdr>
      <w:divsChild>
        <w:div w:id="1566719000">
          <w:marLeft w:val="0"/>
          <w:marRight w:val="0"/>
          <w:marTop w:val="0"/>
          <w:marBottom w:val="0"/>
          <w:divBdr>
            <w:top w:val="none" w:sz="0" w:space="0" w:color="auto"/>
            <w:left w:val="none" w:sz="0" w:space="0" w:color="auto"/>
            <w:bottom w:val="none" w:sz="0" w:space="0" w:color="auto"/>
            <w:right w:val="none" w:sz="0" w:space="0" w:color="auto"/>
          </w:divBdr>
          <w:divsChild>
            <w:div w:id="386147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4623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2047289">
      <w:bodyDiv w:val="1"/>
      <w:marLeft w:val="0"/>
      <w:marRight w:val="0"/>
      <w:marTop w:val="0"/>
      <w:marBottom w:val="0"/>
      <w:divBdr>
        <w:top w:val="none" w:sz="0" w:space="0" w:color="auto"/>
        <w:left w:val="none" w:sz="0" w:space="0" w:color="auto"/>
        <w:bottom w:val="none" w:sz="0" w:space="0" w:color="auto"/>
        <w:right w:val="none" w:sz="0" w:space="0" w:color="auto"/>
      </w:divBdr>
      <w:divsChild>
        <w:div w:id="1327829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68A9B-02CF-49B8-B19D-07AFA93A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1451</Words>
  <Characters>8706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Polak Anna</dc:creator>
  <cp:keywords/>
  <dc:description/>
  <cp:lastModifiedBy>Tomasz Kuydowicz</cp:lastModifiedBy>
  <cp:revision>3</cp:revision>
  <dcterms:created xsi:type="dcterms:W3CDTF">2026-10-06T07:18:00Z</dcterms:created>
  <dcterms:modified xsi:type="dcterms:W3CDTF">2026-10-08T15:50:00Z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a5d7e0-a6ae-47b8-8592-eac7f470fba7_Enabled">
    <vt:lpwstr>true</vt:lpwstr>
  </property>
  <property fmtid="{D5CDD505-2E9C-101B-9397-08002B2CF9AE}" pid="3" name="MSIP_Label_fda5d7e0-a6ae-47b8-8592-eac7f470fba7_SetDate">
    <vt:lpwstr>2026-10-06T04:35:01Z</vt:lpwstr>
  </property>
  <property fmtid="{D5CDD505-2E9C-101B-9397-08002B2CF9AE}" pid="4" name="MSIP_Label_fda5d7e0-a6ae-47b8-8592-eac7f470fba7_Method">
    <vt:lpwstr>Privileged</vt:lpwstr>
  </property>
  <property fmtid="{D5CDD505-2E9C-101B-9397-08002B2CF9AE}" pid="5" name="MSIP_Label_fda5d7e0-a6ae-47b8-8592-eac7f470fba7_Name">
    <vt:lpwstr>Wewnętrzny - SL2 -bez AI</vt:lpwstr>
  </property>
  <property fmtid="{D5CDD505-2E9C-101B-9397-08002B2CF9AE}" pid="6" name="MSIP_Label_fda5d7e0-a6ae-47b8-8592-eac7f470fba7_SiteId">
    <vt:lpwstr>f583f0e4-0fe2-4e46-8bc7-ff287059e206</vt:lpwstr>
  </property>
  <property fmtid="{D5CDD505-2E9C-101B-9397-08002B2CF9AE}" pid="7" name="MSIP_Label_fda5d7e0-a6ae-47b8-8592-eac7f470fba7_ActionId">
    <vt:lpwstr>ddac6ae5-6bc3-4180-b5b5-318a80cced7c</vt:lpwstr>
  </property>
  <property fmtid="{D5CDD505-2E9C-101B-9397-08002B2CF9AE}" pid="8" name="MSIP_Label_fda5d7e0-a6ae-47b8-8592-eac7f470fba7_ContentBits">
    <vt:lpwstr>0</vt:lpwstr>
  </property>
</Properties>
</file>